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Comisi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Fomento Productivo 7 de septiembre de 2021.</w:t>
      </w:r>
    </w:p>
    <w:p>
      <w:pPr>
        <w:pStyle w:val="Predeterminado"/>
        <w:jc w:val="both"/>
      </w:pPr>
      <w:r>
        <w:rPr>
          <w:rStyle w:val="Ninguno"/>
          <w:b w:val="1"/>
          <w:bCs w:val="1"/>
          <w:rtl w:val="0"/>
          <w:lang w:val="es-ES_tradnl"/>
        </w:rPr>
        <w:t>1.- Presentaci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n-US"/>
        </w:rPr>
        <w:t>n, an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lisis y resoluci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pt-PT"/>
        </w:rPr>
        <w:t>n Concurso FIC 2021.</w:t>
      </w:r>
      <w:r>
        <w:rPr>
          <w:rStyle w:val="Ninguno"/>
        </w:rPr>
        <w:br w:type="textWrapping"/>
      </w:r>
      <w:r>
        <w:rPr>
          <w:rStyle w:val="Ninguno"/>
          <w:rtl w:val="0"/>
          <w:lang w:val="it-IT"/>
        </w:rPr>
        <w:t xml:space="preserve">Expone: </w:t>
      </w:r>
      <w:r>
        <w:rPr>
          <w:rStyle w:val="Ninguno"/>
        </w:rPr>
        <w:tab/>
      </w:r>
      <w:r>
        <w:rPr>
          <w:rStyle w:val="Ninguno"/>
          <w:rtl w:val="0"/>
          <w:lang w:val="pt-PT"/>
        </w:rPr>
        <w:t xml:space="preserve">Miguel </w:t>
      </w:r>
      <w:r>
        <w:rPr>
          <w:rStyle w:val="Ninguno"/>
          <w:rtl w:val="0"/>
        </w:rPr>
        <w:t>Á</w:t>
      </w:r>
      <w:r>
        <w:rPr>
          <w:rStyle w:val="Ninguno A"/>
          <w:rtl w:val="0"/>
          <w:lang w:val="es-ES_tradnl"/>
        </w:rPr>
        <w:t>ngel Mart</w:t>
      </w:r>
      <w:r>
        <w:rPr>
          <w:rStyle w:val="Ninguno"/>
          <w:rtl w:val="0"/>
        </w:rPr>
        <w:t>í</w:t>
      </w:r>
      <w:r>
        <w:rPr>
          <w:rStyle w:val="Ninguno A"/>
          <w:rtl w:val="0"/>
          <w:lang w:val="es-ES_tradnl"/>
        </w:rPr>
        <w:t>nez/ Jefe Divisi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de Fomento.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Comienza el expositor se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alando los lineamientos considerados para la elaboraci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las bases del concurso FIC 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 2021, en donde podemos se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alar en forma breve, que fueron considerados  1) Valor Agregado; 2) Talento Humano; 3) Ciencia y Tecnolog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 xml:space="preserve">a. </w:t>
      </w:r>
    </w:p>
    <w:p>
      <w:pPr>
        <w:pStyle w:val="Predeterminado"/>
        <w:jc w:val="both"/>
        <w:rPr>
          <w:rStyle w:val="Ninguno A"/>
        </w:rPr>
      </w:pPr>
      <w:r>
        <w:rPr>
          <w:rStyle w:val="Ninguno A"/>
          <w:rtl w:val="0"/>
          <w:lang w:val="es-ES_tradnl"/>
        </w:rPr>
        <w:tab/>
        <w:t>Destaca el presentador, que fueron recibidos 35 proyectos, en donde postularon 9 instituciones diferentes, luego de la recepci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los proyectos, participaron alrededor de 25 funcionarios p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blicos de diferentes servicios regionales para la evaluaci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del perfil que correspond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cada proyecto, en donde, de los 35 perfiles s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lo 10 proyectos obtuvieron recomendaci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 xml:space="preserve">cnica favorable. </w:t>
        <w:tab/>
        <w:t>Es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que d</w:t>
      </w:r>
      <w:r>
        <w:rPr>
          <w:rStyle w:val="Ninguno"/>
          <w:rtl w:val="0"/>
        </w:rPr>
        <w:t xml:space="preserve">e </w:t>
      </w:r>
      <w:r>
        <w:rPr>
          <w:rStyle w:val="Ninguno A"/>
          <w:rtl w:val="0"/>
          <w:lang w:val="es-ES_tradnl"/>
        </w:rPr>
        <w:t xml:space="preserve">los </w:t>
      </w:r>
      <w:r>
        <w:rPr>
          <w:rStyle w:val="Ninguno"/>
          <w:rtl w:val="0"/>
        </w:rPr>
        <w:t>10 p</w:t>
      </w:r>
      <w:r>
        <w:rPr>
          <w:rStyle w:val="Ninguno A"/>
          <w:rtl w:val="0"/>
          <w:lang w:val="es-ES_tradnl"/>
        </w:rPr>
        <w:t>royectos con una evaluaci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cnica favorable</w:t>
      </w:r>
      <w:r>
        <w:rPr>
          <w:rStyle w:val="Ninguno"/>
          <w:rtl w:val="0"/>
        </w:rPr>
        <w:t xml:space="preserve">, </w:t>
      </w:r>
      <w:r>
        <w:rPr>
          <w:rStyle w:val="Ninguno A"/>
          <w:rtl w:val="0"/>
          <w:lang w:val="es-ES_tradnl"/>
        </w:rPr>
        <w:t>el Ejecutivo da como propuesta al Consejo Regional la</w:t>
      </w:r>
      <w:r>
        <w:rPr>
          <w:rStyle w:val="Ninguno"/>
          <w:rtl w:val="0"/>
        </w:rPr>
        <w:t xml:space="preserve"> aproba</w:t>
      </w:r>
      <w:r>
        <w:rPr>
          <w:rStyle w:val="Ninguno A"/>
          <w:rtl w:val="0"/>
          <w:lang w:val="es-ES_tradnl"/>
        </w:rPr>
        <w:t>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</w:t>
      </w:r>
      <w:r>
        <w:rPr>
          <w:rStyle w:val="Ninguno"/>
          <w:rtl w:val="0"/>
        </w:rPr>
        <w:t xml:space="preserve"> 7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>y as</w:t>
      </w:r>
      <w:r>
        <w:rPr>
          <w:rStyle w:val="Ninguno"/>
          <w:rtl w:val="0"/>
        </w:rPr>
        <w:t>í</w:t>
      </w:r>
      <w:r>
        <w:rPr>
          <w:rStyle w:val="Ninguno A"/>
          <w:rtl w:val="0"/>
          <w:lang w:val="es-ES_tradnl"/>
        </w:rPr>
        <w:t>, completar el marco presupuestario aprobado de M$742.063, dando por finalizado el Concurso en esta etapa de perfiles.</w:t>
      </w:r>
    </w:p>
    <w:p>
      <w:pPr>
        <w:pStyle w:val="Predeterminado"/>
        <w:jc w:val="both"/>
      </w:pPr>
    </w:p>
    <w:tbl>
      <w:tblPr>
        <w:tblW w:w="9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40"/>
        <w:gridCol w:w="3368"/>
        <w:gridCol w:w="1812"/>
        <w:gridCol w:w="1649"/>
        <w:gridCol w:w="1396"/>
      </w:tblGrid>
      <w:tr>
        <w:tblPrEx>
          <w:shd w:val="clear" w:color="auto" w:fill="cadfff"/>
        </w:tblPrEx>
        <w:trPr>
          <w:trHeight w:val="898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corto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Sector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Comunas de Impacto (Seg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postulaci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n)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Monto Aprobado (M$)</w:t>
            </w:r>
          </w:p>
        </w:tc>
      </w:tr>
      <w:tr>
        <w:tblPrEx>
          <w:shd w:val="clear" w:color="auto" w:fill="cadfff"/>
        </w:tblPrEx>
        <w:trPr>
          <w:trHeight w:val="1212" w:hRule="atLeast"/>
        </w:trPr>
        <w:tc>
          <w:tcPr>
            <w:tcW w:type="dxa" w:w="114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Fundaci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Chile</w:t>
            </w:r>
          </w:p>
        </w:tc>
        <w:tc>
          <w:tcPr>
            <w:tcW w:type="dxa" w:w="33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Innovaci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Educaci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acu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cola Liceo Mehu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Pesca y Acuicultura</w:t>
            </w:r>
          </w:p>
        </w:tc>
        <w:tc>
          <w:tcPr>
            <w:tcW w:type="dxa" w:w="164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Mariquina</w:t>
            </w:r>
          </w:p>
        </w:tc>
        <w:tc>
          <w:tcPr>
            <w:tcW w:type="dxa" w:w="139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120.000</w:t>
            </w:r>
          </w:p>
        </w:tc>
      </w:tr>
      <w:tr>
        <w:tblPrEx>
          <w:shd w:val="clear" w:color="auto" w:fill="cadfff"/>
        </w:tblPrEx>
        <w:trPr>
          <w:trHeight w:val="1157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UACh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Terapia personalizada para el tratamiento de c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ncer de ves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cula biliar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Salud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Regional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103.213</w:t>
            </w:r>
          </w:p>
        </w:tc>
      </w:tr>
      <w:tr>
        <w:tblPrEx>
          <w:shd w:val="clear" w:color="auto" w:fill="cadfff"/>
        </w:tblPrEx>
        <w:trPr>
          <w:trHeight w:val="710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UACh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Prototipo para tratar leche con iones de cobre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Agropecuario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Regional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119.810</w:t>
            </w:r>
          </w:p>
        </w:tc>
      </w:tr>
      <w:tr>
        <w:tblPrEx>
          <w:shd w:val="clear" w:color="auto" w:fill="cadfff"/>
        </w:tblPrEx>
        <w:trPr>
          <w:trHeight w:val="993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U. de Chile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Geotermia para Posta de Salud Rural en Lago Ranco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Energ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Lago Ranco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111.998</w:t>
            </w:r>
          </w:p>
        </w:tc>
      </w:tr>
    </w:tbl>
    <w:p>
      <w:pPr>
        <w:pStyle w:val="Predeterminado"/>
        <w:jc w:val="both"/>
      </w:pPr>
    </w:p>
    <w:p>
      <w:pPr>
        <w:pStyle w:val="Predeterminado"/>
        <w:jc w:val="both"/>
      </w:pPr>
    </w:p>
    <w:p>
      <w:pPr>
        <w:pStyle w:val="Predeterminado"/>
        <w:jc w:val="both"/>
      </w:pPr>
    </w:p>
    <w:tbl>
      <w:tblPr>
        <w:tblW w:w="9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40"/>
        <w:gridCol w:w="3368"/>
        <w:gridCol w:w="1812"/>
        <w:gridCol w:w="1649"/>
        <w:gridCol w:w="1396"/>
      </w:tblGrid>
      <w:tr>
        <w:tblPrEx>
          <w:shd w:val="clear" w:color="auto" w:fill="cadfff"/>
        </w:tblPrEx>
        <w:trPr>
          <w:trHeight w:val="1842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UACh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Aprender y Ense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ar en el Siglo XXI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Regional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119.990</w:t>
            </w:r>
          </w:p>
        </w:tc>
      </w:tr>
      <w:tr>
        <w:tblPrEx>
          <w:shd w:val="clear" w:color="auto" w:fill="cadfff"/>
        </w:tblPrEx>
        <w:trPr>
          <w:trHeight w:val="257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UACh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LosRios TDM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Salud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Regional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85.856</w:t>
            </w:r>
          </w:p>
        </w:tc>
      </w:tr>
      <w:tr>
        <w:tblPrEx>
          <w:shd w:val="clear" w:color="auto" w:fill="cadfff"/>
        </w:tblPrEx>
        <w:trPr>
          <w:trHeight w:val="699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UACh</w:t>
            </w:r>
          </w:p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</w:tabs>
              <w:suppressAutoHyphens w:val="1"/>
              <w:spacing w:after="0"/>
              <w:jc w:val="both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Innovaci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Tecnol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gica en la Oncohematolog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a 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Salud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</w:tabs>
              <w:suppressAutoHyphens w:val="1"/>
              <w:spacing w:after="0"/>
              <w:jc w:val="center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Regional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81.196</w:t>
            </w:r>
          </w:p>
        </w:tc>
      </w:tr>
      <w:tr>
        <w:tblPrEx>
          <w:shd w:val="clear" w:color="auto" w:fill="cadfff"/>
        </w:tblPrEx>
        <w:trPr>
          <w:trHeight w:val="262" w:hRule="atLeast"/>
        </w:trPr>
        <w:tc>
          <w:tcPr>
            <w:tcW w:type="dxa" w:w="7969"/>
            <w:gridSpan w:val="4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MONTO TOTAL M$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suppressAutoHyphens w:val="1"/>
              <w:spacing w:after="0"/>
              <w:jc w:val="right"/>
              <w:outlineLvl w:val="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742.063</w:t>
            </w:r>
          </w:p>
        </w:tc>
      </w:tr>
    </w:tbl>
    <w:p>
      <w:pPr>
        <w:pStyle w:val="Predeterminado"/>
        <w:jc w:val="both"/>
      </w:pPr>
    </w:p>
    <w:p>
      <w:pPr>
        <w:pStyle w:val="Predeterminado"/>
        <w:jc w:val="both"/>
      </w:pPr>
    </w:p>
    <w:p>
      <w:pPr>
        <w:pStyle w:val="Predeterminado"/>
        <w:jc w:val="both"/>
      </w:pPr>
      <w:r>
        <w:rPr>
          <w:rStyle w:val="Ninguno"/>
        </w:rPr>
        <w:tab/>
      </w:r>
      <w:r>
        <w:rPr>
          <w:rStyle w:val="Ninguno A"/>
          <w:rtl w:val="0"/>
          <w:lang w:val="es-ES_tradnl"/>
        </w:rPr>
        <w:t>Se deja claramente establecido que la ejecuci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presupuestaria para el 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</w:t>
      </w:r>
      <w:r>
        <w:rPr>
          <w:rStyle w:val="Ninguno"/>
          <w:rtl w:val="0"/>
          <w:lang w:val="en-US"/>
        </w:rPr>
        <w:t xml:space="preserve"> 2021, ser</w:t>
      </w:r>
      <w:r>
        <w:rPr>
          <w:rStyle w:val="Ninguno"/>
          <w:rtl w:val="0"/>
        </w:rPr>
        <w:t xml:space="preserve">á </w:t>
      </w:r>
      <w:r>
        <w:rPr>
          <w:rStyle w:val="Ninguno A"/>
          <w:rtl w:val="0"/>
          <w:lang w:val="es-ES_tradnl"/>
        </w:rPr>
        <w:t>de hasta M$100.000, dejando como compromiso de arrastre para ejercicios futuros un</w:t>
      </w:r>
      <w:r>
        <w:rPr>
          <w:rStyle w:val="Ninguno"/>
          <w:rtl w:val="0"/>
          <w:lang w:val="en-US"/>
        </w:rPr>
        <w:t xml:space="preserve"> monto de M$642.063</w:t>
      </w:r>
      <w:r>
        <w:rPr>
          <w:rStyle w:val="Ninguno A"/>
          <w:rtl w:val="0"/>
          <w:lang w:val="es-ES_tradnl"/>
        </w:rPr>
        <w:t>, siendo el marco presupuestario total del Concurso el monto aprobado por el CORE que es de M$742.063.-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Puesta en votaci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la propuesta realizada de financiar las 7 iniciativas ya mencionadas para el Concurso FIC 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 2021, obteniendo 4 votos a favor, recomendando por esta comisi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 xml:space="preserve">n al pleno las 7 iniciativas ya mencionadas para ser aprobadas. </w:t>
      </w:r>
    </w:p>
    <w:p>
      <w:pPr>
        <w:pStyle w:val="Predeterminado"/>
        <w:jc w:val="both"/>
      </w:pPr>
      <w:r>
        <w:rPr>
          <w:rStyle w:val="Ninguno"/>
        </w:rPr>
        <w:br w:type="textWrapping"/>
      </w:r>
      <w:r>
        <w:rPr>
          <w:rStyle w:val="Ninguno"/>
          <w:b w:val="1"/>
          <w:bCs w:val="1"/>
          <w:rtl w:val="0"/>
          <w:lang w:val="es-ES_tradnl"/>
        </w:rPr>
        <w:t>2.- Presentaci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an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lisis estado de avance Programa de Reactivaci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nl-NL"/>
        </w:rPr>
        <w:t>n Econ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it-IT"/>
        </w:rPr>
        <w:t>mica (Fudea Ufro).</w:t>
      </w:r>
      <w:r>
        <w:rPr>
          <w:rStyle w:val="Ninguno"/>
        </w:rPr>
        <w:br w:type="textWrapping"/>
      </w:r>
      <w:r>
        <w:rPr>
          <w:rStyle w:val="Ninguno"/>
          <w:rtl w:val="0"/>
          <w:lang w:val="it-IT"/>
        </w:rPr>
        <w:t xml:space="preserve">Expone: </w:t>
      </w:r>
      <w:r>
        <w:rPr>
          <w:rStyle w:val="Ninguno"/>
        </w:rPr>
        <w:tab/>
      </w:r>
      <w:r>
        <w:rPr>
          <w:rStyle w:val="Ninguno"/>
          <w:rtl w:val="0"/>
          <w:lang w:val="pt-PT"/>
        </w:rPr>
        <w:t xml:space="preserve">Miguel </w:t>
      </w:r>
      <w:r>
        <w:rPr>
          <w:rStyle w:val="Ninguno"/>
          <w:rtl w:val="0"/>
        </w:rPr>
        <w:t>Á</w:t>
      </w:r>
      <w:r>
        <w:rPr>
          <w:rStyle w:val="Ninguno A"/>
          <w:rtl w:val="0"/>
          <w:lang w:val="es-ES_tradnl"/>
        </w:rPr>
        <w:t>ngel Mart</w:t>
      </w:r>
      <w:r>
        <w:rPr>
          <w:rStyle w:val="Ninguno"/>
          <w:rtl w:val="0"/>
        </w:rPr>
        <w:t>í</w:t>
      </w:r>
      <w:r>
        <w:rPr>
          <w:rStyle w:val="Ninguno A"/>
          <w:rtl w:val="0"/>
          <w:lang w:val="es-ES_tradnl"/>
        </w:rPr>
        <w:t>nez/ Jefe Divisi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de Fomento.</w:t>
      </w:r>
      <w:r>
        <w:rPr>
          <w:rStyle w:val="Ninguno"/>
        </w:rPr>
        <w:br w:type="textWrapping"/>
      </w:r>
      <w:r>
        <w:rPr>
          <w:rStyle w:val="Ninguno A"/>
          <w:rtl w:val="0"/>
          <w:lang w:val="es-ES_tradnl"/>
        </w:rPr>
        <w:tab/>
        <w:tab/>
        <w:t>Valeria Pe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 / Profesional de apoyo de la Divisi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n.</w:t>
      </w:r>
    </w:p>
    <w:p>
      <w:pPr>
        <w:pStyle w:val="Predeterminado"/>
        <w:jc w:val="both"/>
        <w:rPr>
          <w:rStyle w:val="Ninguno A"/>
        </w:rPr>
      </w:pPr>
      <w:r>
        <w:rPr>
          <w:rStyle w:val="Ninguno A"/>
          <w:rtl w:val="0"/>
          <w:lang w:val="es-ES_tradnl"/>
        </w:rPr>
        <w:tab/>
        <w:t>Comienza la expositora mencionando que el plazo para la postulaci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fue ampliado en relaci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a la fecha consignada al inicio, esto es del 9 de agosto al 31 del mismo mes. Comenta tambi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 que se realizaron diversas formas de difusi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del programa, acompa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ado de un asesoramiento a quien consultaba, tanto por correo,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telef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nica y tambi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 xml:space="preserve">n por apoyo presencial. </w:t>
        <w:tab/>
      </w:r>
    </w:p>
    <w:p>
      <w:pPr>
        <w:pStyle w:val="Predeterminado"/>
        <w:jc w:val="both"/>
      </w:pPr>
      <w:r>
        <w:rPr>
          <w:rStyle w:val="Ninguno A"/>
        </w:rPr>
        <w:tab/>
      </w:r>
      <w:r>
        <w:rPr>
          <w:rStyle w:val="Ninguno A"/>
          <w:rtl w:val="0"/>
          <w:lang w:val="es-ES_tradnl"/>
        </w:rPr>
        <w:t>Seguido, muestra algunos recuadros que reflejaban el flujo de las postulaciones por d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a, referente a las tres l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neas de postulaci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resultando una cantidad mayor de postulaciones a la cantidad de beneficiarios que se presupuestaba ayudar, quedando de la siguiente manera, para emprendedores postularon 2184 versus los 1143 que podr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an ser financiados, en cuando a MICRO 1 postularon 9</w:t>
      </w:r>
      <w:r>
        <w:rPr>
          <w:rStyle w:val="Ninguno"/>
          <w:rtl w:val="0"/>
        </w:rPr>
        <w:t>2</w:t>
      </w:r>
      <w:r>
        <w:rPr>
          <w:rStyle w:val="Ninguno A"/>
          <w:rtl w:val="0"/>
          <w:lang w:val="es-ES_tradnl"/>
        </w:rPr>
        <w:t>9 versus los 600 que podr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an ser financiados</w:t>
      </w:r>
      <w:r>
        <w:rPr>
          <w:rStyle w:val="Ninguno A"/>
          <w:rtl w:val="0"/>
          <w:lang w:val="es-ES_tradnl"/>
        </w:rPr>
        <w:t xml:space="preserve"> y en respecto a MICRO 2 y 3 postularon 842 versus los 298 que podr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an ser financiados</w:t>
      </w:r>
      <w:r>
        <w:rPr>
          <w:rStyle w:val="Ninguno A"/>
          <w:rtl w:val="0"/>
          <w:lang w:val="es-ES_tradnl"/>
        </w:rPr>
        <w:t>.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Ya finalizando, comenta el calendario programado para dar respuesta a quienes postularon, en donde la evaluaci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generaci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del ranking y la selecci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los beneficiarios se producir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entre el 14 y el 27 de septiembre, la notificaci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los seleccionados ser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el 28 de septiembre, las dem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s fechas se encuentra en la presentaci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que fue acompa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 xml:space="preserve">ada a sus correos. </w:t>
        <w:tab/>
      </w:r>
    </w:p>
    <w:p>
      <w:pPr>
        <w:pStyle w:val="Predeterminado"/>
        <w:jc w:val="both"/>
      </w:pPr>
      <w:r>
        <w:rPr>
          <w:rStyle w:val="Ninguno"/>
          <w:b w:val="1"/>
          <w:bCs w:val="1"/>
          <w:rtl w:val="0"/>
          <w:lang w:val="es-ES_tradnl"/>
        </w:rPr>
        <w:t>3.- Presentaci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an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lisis proceso de traspaso de competencias de Sercotec a GORE de Los 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pt-PT"/>
        </w:rPr>
        <w:t>os.</w:t>
      </w:r>
      <w:r>
        <w:rPr>
          <w:rStyle w:val="Ninguno"/>
        </w:rPr>
        <w:br w:type="textWrapping"/>
      </w:r>
      <w:r>
        <w:rPr>
          <w:rStyle w:val="Ninguno"/>
          <w:rtl w:val="0"/>
          <w:lang w:val="it-IT"/>
        </w:rPr>
        <w:t xml:space="preserve">Expone: </w:t>
      </w:r>
      <w:r>
        <w:rPr>
          <w:rStyle w:val="Ninguno"/>
        </w:rPr>
        <w:tab/>
      </w:r>
      <w:r>
        <w:rPr>
          <w:rStyle w:val="Ninguno"/>
          <w:rtl w:val="0"/>
          <w:lang w:val="pt-PT"/>
        </w:rPr>
        <w:t xml:space="preserve">Miguel </w:t>
      </w:r>
      <w:r>
        <w:rPr>
          <w:rStyle w:val="Ninguno"/>
          <w:rtl w:val="0"/>
        </w:rPr>
        <w:t>Á</w:t>
      </w:r>
      <w:r>
        <w:rPr>
          <w:rStyle w:val="Ninguno A"/>
          <w:rtl w:val="0"/>
          <w:lang w:val="es-ES_tradnl"/>
        </w:rPr>
        <w:t>ngel Mart</w:t>
      </w:r>
      <w:r>
        <w:rPr>
          <w:rStyle w:val="Ninguno"/>
          <w:rtl w:val="0"/>
        </w:rPr>
        <w:t>í</w:t>
      </w:r>
      <w:r>
        <w:rPr>
          <w:rStyle w:val="Ninguno A"/>
          <w:rtl w:val="0"/>
          <w:lang w:val="es-ES_tradnl"/>
        </w:rPr>
        <w:t>nez/ Jefe Divisi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de Fomento.</w:t>
      </w:r>
      <w:r>
        <w:rPr>
          <w:rStyle w:val="Ninguno"/>
        </w:rPr>
        <w:br w:type="textWrapping"/>
        <w:tab/>
        <w:tab/>
      </w:r>
      <w:r>
        <w:rPr>
          <w:rStyle w:val="Ninguno"/>
          <w:rtl w:val="0"/>
          <w:lang w:val="it-IT"/>
        </w:rPr>
        <w:t>Valeria Pe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 / Profesional de apoyo de la Divisi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</w:rPr>
        <w:t>n.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Parte la expositora mencionando un cuadro cronol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gico, que gr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fica la g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nesis de este proceso de transferencias de competencias, como tambi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 xml:space="preserve">n el sinergia que ha tenido en cuanto a los procesos administrativos que han sido parte del mismo, es importante destacar que con el Decreto 64 </w:t>
      </w:r>
      <w:r>
        <w:rPr>
          <w:rStyle w:val="Ninguno"/>
          <w:rtl w:val="0"/>
          <w:lang w:val="pt-PT"/>
        </w:rPr>
        <w:t>transferir</w:t>
      </w:r>
      <w:r>
        <w:rPr>
          <w:rStyle w:val="Ninguno"/>
          <w:rtl w:val="0"/>
        </w:rPr>
        <w:t xml:space="preserve">á </w:t>
      </w:r>
      <w:r>
        <w:rPr>
          <w:rStyle w:val="Ninguno A"/>
          <w:rtl w:val="0"/>
          <w:lang w:val="es-ES_tradnl"/>
        </w:rPr>
        <w:t>la Focalizaci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 xml:space="preserve">n de los siguientes instrumentos al Gobierno Regional, 1) </w:t>
      </w:r>
      <w:r>
        <w:rPr>
          <w:rStyle w:val="Ninguno"/>
          <w:rtl w:val="0"/>
          <w:lang w:val="it-IT"/>
        </w:rPr>
        <w:t>Crece</w:t>
      </w:r>
      <w:r>
        <w:rPr>
          <w:rStyle w:val="Ninguno A"/>
          <w:rtl w:val="0"/>
          <w:lang w:val="es-ES_tradnl"/>
        </w:rPr>
        <w:t xml:space="preserve">; 2) Almacenes de Chile; 3) Capital semilla emprende </w:t>
      </w:r>
      <w:r>
        <w:rPr>
          <w:rStyle w:val="Ninguno"/>
          <w:rtl w:val="0"/>
        </w:rPr>
        <w:t>y</w:t>
      </w:r>
      <w:r>
        <w:rPr>
          <w:rStyle w:val="Ninguno A"/>
          <w:rtl w:val="0"/>
          <w:lang w:val="es-ES_tradnl"/>
        </w:rPr>
        <w:t xml:space="preserve"> </w:t>
      </w:r>
      <w:r>
        <w:rPr>
          <w:rStyle w:val="Ninguno"/>
          <w:rtl w:val="0"/>
          <w:lang w:val="da-DK"/>
        </w:rPr>
        <w:t>abeja</w:t>
      </w:r>
      <w:r>
        <w:rPr>
          <w:rStyle w:val="Ninguno A"/>
          <w:rtl w:val="0"/>
          <w:lang w:val="es-ES_tradnl"/>
        </w:rPr>
        <w:t xml:space="preserve">; 4) Mejora negocios; 5) Juntos; 6) </w:t>
      </w:r>
      <w:r>
        <w:rPr>
          <w:rStyle w:val="Ninguno"/>
          <w:rtl w:val="0"/>
        </w:rPr>
        <w:t>Promoci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y canales de comercializaci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</w:rPr>
        <w:t>n</w:t>
      </w:r>
      <w:r>
        <w:rPr>
          <w:rStyle w:val="Ninguno A"/>
          <w:rtl w:val="0"/>
          <w:lang w:val="es-ES_tradnl"/>
        </w:rPr>
        <w:t xml:space="preserve">; 7) </w:t>
      </w:r>
      <w:r>
        <w:rPr>
          <w:rStyle w:val="Ninguno"/>
          <w:rtl w:val="0"/>
          <w:lang w:val="pt-PT"/>
        </w:rPr>
        <w:t>Redes de oportunidades de negocio.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Menciona que con la resoluci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n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mero 9.699 se crea la Gerencia de Regiones y Descentralizaci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</w:rPr>
        <w:t>n</w:t>
      </w:r>
      <w:r>
        <w:rPr>
          <w:rStyle w:val="Ninguno A"/>
          <w:rtl w:val="0"/>
          <w:lang w:val="es-ES_tradnl"/>
        </w:rPr>
        <w:t xml:space="preserve"> (Gerencia General Sercotec) que lidera proceso de descentralizaci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y traspaso de competencias a los GORE</w:t>
      </w:r>
      <w:r>
        <w:rPr>
          <w:rStyle w:val="Ninguno"/>
          <w:rFonts w:ascii="Arial Unicode MS" w:hAnsi="Arial Unicode MS" w:hint="default"/>
          <w:rtl w:val="1"/>
        </w:rPr>
        <w:t>’</w:t>
      </w:r>
      <w:r>
        <w:rPr>
          <w:rStyle w:val="Ninguno"/>
          <w:rtl w:val="0"/>
        </w:rPr>
        <w:t>S</w:t>
      </w:r>
      <w:r>
        <w:rPr>
          <w:rStyle w:val="Ninguno A"/>
          <w:rtl w:val="0"/>
          <w:lang w:val="es-ES_tradnl"/>
        </w:rPr>
        <w:t>. Del mismo modo, la metodolog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Sercotec ser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transfiriendo la responsabilidad de aplicar la misma a los Gobiernos Regionales, en especifico a la Divisi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Fomento e Industria y a la Divisi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Planificaci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existir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tambi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 un observador a nivel central, que ser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la Gerencia de Regiones SERCOTEC y SUBDERE y finalmente el apoyo 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cnico-metodol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gico quedar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entregado a el Director Regional de SERCOTEC un l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der 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cnico en descentralizaci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 xml:space="preserve">n y un equipo designado para estos efectos. 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>En cuanto a la propuesta del Gobierno Regional se establece tres pilares que son 1) Diagnostico estrat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gico, que permite conocer la capacidad de desarrollo de los emprendedores y empresas de menor tama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 de la regi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n; 2) Vocaci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y problem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tica, para identificar alternativas de focalizaci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n; 3) Focalizaci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 xml:space="preserve">n Regional. </w:t>
      </w:r>
    </w:p>
    <w:p>
      <w:pPr>
        <w:pStyle w:val="Predeterminado"/>
        <w:jc w:val="both"/>
      </w:pPr>
      <w:r>
        <w:rPr>
          <w:rStyle w:val="Ninguno A"/>
          <w:rtl w:val="0"/>
          <w:lang w:val="es-ES_tradnl"/>
        </w:rPr>
        <w:tab/>
        <w:t xml:space="preserve">Finalmente muestra el recorrido que ha tenido el proceso en este 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ltimo tiempo, presupuest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ndose que ser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sometido a aprobaci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del consejo regional la la focalizaci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final regional</w:t>
      </w:r>
      <w:r>
        <w:rPr>
          <w:rStyle w:val="Ninguno A"/>
          <w:rtl w:val="0"/>
          <w:lang w:val="es-ES_tradnl"/>
        </w:rPr>
        <w:t xml:space="preserve"> en el mes de noviembre. </w:t>
      </w:r>
    </w:p>
    <w:p>
      <w:pPr>
        <w:pStyle w:val="Predeterminado"/>
        <w:jc w:val="both"/>
      </w:pPr>
      <w:r>
        <w:rPr>
          <w:rStyle w:val="Ninguno"/>
          <w:rtl w:val="0"/>
        </w:rPr>
        <w:tab/>
        <w:t xml:space="preserve"> </w:t>
      </w:r>
    </w:p>
    <w:p>
      <w:pPr>
        <w:pStyle w:val="Predeterminado"/>
        <w:jc w:val="both"/>
      </w:pPr>
      <w:r>
        <w:rPr>
          <w:rStyle w:val="Ninguno"/>
          <w:rtl w:val="0"/>
        </w:rPr>
        <w:t xml:space="preserve"> </w:t>
      </w:r>
    </w:p>
    <w:p>
      <w:pPr>
        <w:pStyle w:val="Predeterminado"/>
        <w:jc w:val="both"/>
      </w:pPr>
      <w:r>
        <w:rPr>
          <w:rStyle w:val="Ninguno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