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105F" w14:textId="7C2D8B5B" w:rsidR="003F24D0" w:rsidRDefault="003F24D0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482BD9" w14:textId="5902D44F" w:rsidR="00284C88" w:rsidRDefault="00284C8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COMISIÓN DE INFRAESTRUCTURA PARA PLENO 13.07.2022</w:t>
      </w:r>
    </w:p>
    <w:p w14:paraId="5C97C146" w14:textId="44DE8DD2" w:rsidR="00284C88" w:rsidRDefault="00284C8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F380A4" w14:textId="7C91BA86" w:rsidR="00284C88" w:rsidRDefault="00284C8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primer lugar, se presenta el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 de la Junta Regional de Bomberos, Don Juvenal Arancibia y su equipo, para presentar una propuesta de inversión trianual en material mayor, es así que el resumen es el siguiente:</w:t>
      </w:r>
    </w:p>
    <w:p w14:paraId="4856B705" w14:textId="77777777" w:rsidR="00000000" w:rsidRPr="00284C88" w:rsidRDefault="00B02411" w:rsidP="00284C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4C88">
        <w:rPr>
          <w:rFonts w:ascii="Arial" w:hAnsi="Arial" w:cs="Arial"/>
          <w:sz w:val="24"/>
          <w:szCs w:val="24"/>
        </w:rPr>
        <w:t xml:space="preserve">Luego de analizadas las múltiples necesidades que tiene Bomberos de La Región de Los Ríos, se considera dentro de la propuesta de proyectos la adquisición </w:t>
      </w:r>
      <w:r w:rsidRPr="00284C88">
        <w:rPr>
          <w:rFonts w:ascii="Arial" w:hAnsi="Arial" w:cs="Arial"/>
          <w:sz w:val="24"/>
          <w:szCs w:val="24"/>
        </w:rPr>
        <w:t>de 11 camiones aljibe en su Segunda Etapa, con lo que completaríamos a los 20 Cuerpos de Bomberos de La Región de Los Ríos; la Renovación de 20 Carros Bomba por antigüedad, siendo los carros más antiguos de 33 años de vida útil; Adquisición de Carros de Es</w:t>
      </w:r>
      <w:r w:rsidRPr="00284C88">
        <w:rPr>
          <w:rFonts w:ascii="Arial" w:hAnsi="Arial" w:cs="Arial"/>
          <w:sz w:val="24"/>
          <w:szCs w:val="24"/>
        </w:rPr>
        <w:t>pecialidad para Rescate Vehicular (1), Primera Intervención para Especialidad de Cuerdas (1) y Materiales Peligrosos (3).</w:t>
      </w:r>
    </w:p>
    <w:p w14:paraId="41B80FDC" w14:textId="7DAD99C4" w:rsidR="00000000" w:rsidRDefault="00B02411" w:rsidP="00284C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4C88">
        <w:rPr>
          <w:rFonts w:ascii="Arial" w:hAnsi="Arial" w:cs="Arial"/>
          <w:sz w:val="24"/>
          <w:szCs w:val="24"/>
        </w:rPr>
        <w:t>La Adquisición de 820 Uniformes Estructura</w:t>
      </w:r>
      <w:r w:rsidRPr="00284C88">
        <w:rPr>
          <w:rFonts w:ascii="Arial" w:hAnsi="Arial" w:cs="Arial"/>
          <w:sz w:val="24"/>
          <w:szCs w:val="24"/>
        </w:rPr>
        <w:t>les indispensables para que los Bomberos tengan la protección necesaria al enfrentar las Emergencias de Incendios, para los 20 Cuerpos de Bomberos.</w:t>
      </w:r>
    </w:p>
    <w:p w14:paraId="58101A66" w14:textId="61185DA3" w:rsidR="00284C88" w:rsidRDefault="00284C8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presentan las iniciativas una a una, con sus costos correspondientes, de acuerdo a la presentación.</w:t>
      </w:r>
    </w:p>
    <w:p w14:paraId="7ECD2EEC" w14:textId="5F871B1D" w:rsidR="00284C88" w:rsidRDefault="00284C8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Abierta la discusión, se propone incorporar al listado el carro de Corral, el cuán ha sido presentado previamente en Core y que, a pesar de la necesidad, no se ha podido concretar.</w:t>
      </w:r>
    </w:p>
    <w:p w14:paraId="5D281441" w14:textId="727C6037" w:rsidR="00284C88" w:rsidRDefault="00284C8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acuerda reactivar la </w:t>
      </w:r>
      <w:r w:rsidRPr="00284C88">
        <w:rPr>
          <w:rFonts w:ascii="Arial" w:hAnsi="Arial" w:cs="Arial"/>
          <w:b/>
          <w:sz w:val="24"/>
          <w:szCs w:val="24"/>
        </w:rPr>
        <w:t>MESA DE BOMBEROS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Iniciativa surgida en el seno de esta comisión y formalizada en su oportunidad, recordemos que ésta mesa la preside a primera autoridad regional, y está compuesta por </w:t>
      </w:r>
      <w:proofErr w:type="spellStart"/>
      <w:r>
        <w:rPr>
          <w:rFonts w:ascii="Arial" w:hAnsi="Arial" w:cs="Arial"/>
          <w:sz w:val="24"/>
          <w:szCs w:val="24"/>
        </w:rPr>
        <w:t>Onemi</w:t>
      </w:r>
      <w:proofErr w:type="spellEnd"/>
      <w:r>
        <w:rPr>
          <w:rFonts w:ascii="Arial" w:hAnsi="Arial" w:cs="Arial"/>
          <w:sz w:val="24"/>
          <w:szCs w:val="24"/>
        </w:rPr>
        <w:t>, la Asociación de Municipios, por supuesto Bomberos y esta comisión en pleno. Esperamos en esta nueva etapa incorporar a la División de Infraestructura y transportes, quienes debiesen oficiar de secretaría técnica.</w:t>
      </w:r>
    </w:p>
    <w:p w14:paraId="2884230E" w14:textId="33B74D18" w:rsidR="00284C88" w:rsidRDefault="00284C8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acuerda citar a la reunión de la mesa oportunamente, para asegurar la presencia de todos, con el objetivo de someter a consideración </w:t>
      </w:r>
      <w:r w:rsidR="00475958">
        <w:rPr>
          <w:rFonts w:ascii="Arial" w:hAnsi="Arial" w:cs="Arial"/>
          <w:sz w:val="24"/>
          <w:szCs w:val="24"/>
        </w:rPr>
        <w:t>a la propuesta</w:t>
      </w:r>
      <w:r>
        <w:rPr>
          <w:rFonts w:ascii="Arial" w:hAnsi="Arial" w:cs="Arial"/>
          <w:sz w:val="24"/>
          <w:szCs w:val="24"/>
        </w:rPr>
        <w:t xml:space="preserve"> de Bomberos expresada en esta oportunidad, pero sumando otros relacionados, como infraestructura, habitabilidad</w:t>
      </w:r>
      <w:r w:rsidR="00475958">
        <w:rPr>
          <w:rFonts w:ascii="Arial" w:hAnsi="Arial" w:cs="Arial"/>
          <w:sz w:val="24"/>
          <w:szCs w:val="24"/>
        </w:rPr>
        <w:t>, capacidad de respuesta, zonas sin protección y otros temas relacionados; de tal forma de estructurar un plan regional completo y con plazos definidos.</w:t>
      </w:r>
    </w:p>
    <w:p w14:paraId="2F0D69E8" w14:textId="77777777" w:rsidR="003B6BE8" w:rsidRDefault="003B6BE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A156916" w14:textId="71679D60" w:rsidR="00475958" w:rsidRDefault="0047595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en particular, se prosigue con la tabla.</w:t>
      </w:r>
    </w:p>
    <w:p w14:paraId="275C04DE" w14:textId="57DEC4B1" w:rsidR="00475958" w:rsidRDefault="003B6BE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proseguir, se presenta el Seremi de Energía Leonardo Faundez y su equipo, para exponer acerca de la metodología utilizada para abordar lo proyectos fotovoltaicos. </w:t>
      </w:r>
    </w:p>
    <w:p w14:paraId="182CA168" w14:textId="1761D537" w:rsidR="003B6BE8" w:rsidRDefault="003B6BE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presentación da cuenta de los detalles, pero en general, de acuerdo al descriptor </w:t>
      </w:r>
      <w:r w:rsidR="00B57B13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57B13">
        <w:rPr>
          <w:rFonts w:ascii="Arial" w:hAnsi="Arial" w:cs="Arial"/>
          <w:sz w:val="24"/>
          <w:szCs w:val="24"/>
        </w:rPr>
        <w:t>Mideso</w:t>
      </w:r>
      <w:proofErr w:type="spellEnd"/>
      <w:r>
        <w:rPr>
          <w:rFonts w:ascii="Arial" w:hAnsi="Arial" w:cs="Arial"/>
          <w:sz w:val="24"/>
          <w:szCs w:val="24"/>
        </w:rPr>
        <w:t xml:space="preserve">, para que exista un análisis de alternativas, debe ser inviable económicamente el tendido tradicional por cable, </w:t>
      </w:r>
      <w:r w:rsidR="00B57B13">
        <w:rPr>
          <w:rFonts w:ascii="Arial" w:hAnsi="Arial" w:cs="Arial"/>
          <w:sz w:val="24"/>
          <w:szCs w:val="24"/>
        </w:rPr>
        <w:t>lo que atrasa la evaluación con energías alternativas.</w:t>
      </w:r>
    </w:p>
    <w:p w14:paraId="20F95CBA" w14:textId="1F3D62A5" w:rsidR="00B57B13" w:rsidRDefault="00B57B13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 trabajar en modificar este procedimiento y analizar desde un principio alternativas con energías renovables no convencionales.</w:t>
      </w:r>
    </w:p>
    <w:p w14:paraId="10FE083F" w14:textId="5BE020B1" w:rsidR="00B57B13" w:rsidRDefault="00B57B13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Además</w:t>
      </w:r>
      <w:proofErr w:type="gramEnd"/>
      <w:r>
        <w:rPr>
          <w:rFonts w:ascii="Arial" w:hAnsi="Arial" w:cs="Arial"/>
          <w:sz w:val="24"/>
          <w:szCs w:val="24"/>
        </w:rPr>
        <w:t xml:space="preserve"> se solicita al Seremi trabajar en una propuesta de programa que nos permita cuantificar la brecha para cobertura 100 de la región en aspecto de electrificación, se propone un plazo de 1 mes para que se presente la iniciativa a la comisión y proponer al ejecutivo financiamiento para el 2023.</w:t>
      </w:r>
    </w:p>
    <w:p w14:paraId="40531498" w14:textId="55650696" w:rsidR="00B57B13" w:rsidRDefault="00B65DD9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punto siguiente da cuenta de la presentación del Programa de un plan regional de fortalecimiento de la Pre inversión y apoyo a Municipios.</w:t>
      </w:r>
    </w:p>
    <w:p w14:paraId="1FBA8867" w14:textId="72E595C1" w:rsidR="00B65DD9" w:rsidRDefault="00B65DD9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 la División de Infraestructura del Gobierno Regional.</w:t>
      </w:r>
    </w:p>
    <w:p w14:paraId="6CAEF6AF" w14:textId="3C4624FE" w:rsidR="00B65DD9" w:rsidRDefault="00B65DD9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programa busca una etapa siguiente mejorada del programa que existió de apoyo a municipios, el cual fue pionero y que bajo luces y sombras entregó información de base para mejorar la propuesta y la gestión del programa.</w:t>
      </w:r>
    </w:p>
    <w:p w14:paraId="74A87D79" w14:textId="27F6326B" w:rsidR="00B65DD9" w:rsidRDefault="00B65DD9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presentación da cuenta de los detalles y los montos asociados, pero lo más relevante fue la discusión y los aportes de la comisión para mejorar la propuesta desde el punto de vista del fortalecimiento del Gobierno Regional, de si división de Infraestructura y del Consejo Regional, aumentando su capacidad de gestión a nivel regional, logrando sinergias y detonando procesos asociados a las carteras de proyectos comunales, pero también en un contexto regional integrado.</w:t>
      </w:r>
    </w:p>
    <w:p w14:paraId="2AF90631" w14:textId="71C709AD" w:rsidR="00B65DD9" w:rsidRDefault="00B65DD9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la retroalimentación de la división </w:t>
      </w:r>
      <w:r w:rsidR="00501474">
        <w:rPr>
          <w:rFonts w:ascii="Arial" w:hAnsi="Arial" w:cs="Arial"/>
          <w:sz w:val="24"/>
          <w:szCs w:val="24"/>
        </w:rPr>
        <w:t xml:space="preserve">para acordar montos y proponer a Hacienda su financiamiento. </w:t>
      </w:r>
    </w:p>
    <w:p w14:paraId="7BCB1C51" w14:textId="494A9637" w:rsidR="00501474" w:rsidRDefault="00501474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Felicitamos el trabajo ya que se generó una bien documentada línea base que entrega argumentos tangibles de las brechas y oportunidades al integrar los procesos re</w:t>
      </w:r>
      <w:r w:rsidR="00EC286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cionados </w:t>
      </w:r>
      <w:r w:rsidR="00EC286D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EC286D"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EC286D">
        <w:rPr>
          <w:rFonts w:ascii="Arial" w:hAnsi="Arial" w:cs="Arial"/>
          <w:sz w:val="24"/>
          <w:szCs w:val="24"/>
        </w:rPr>
        <w:t>pre-inversión</w:t>
      </w:r>
      <w:proofErr w:type="spellEnd"/>
      <w:proofErr w:type="gramEnd"/>
      <w:r w:rsidR="00EC286D">
        <w:rPr>
          <w:rFonts w:ascii="Arial" w:hAnsi="Arial" w:cs="Arial"/>
          <w:sz w:val="24"/>
          <w:szCs w:val="24"/>
        </w:rPr>
        <w:t xml:space="preserve"> de calidad complementando la mermadas capacidades técnicas y financieras de nuestros municipios.</w:t>
      </w:r>
    </w:p>
    <w:p w14:paraId="6B33C76E" w14:textId="77777777" w:rsidR="00EC286D" w:rsidRDefault="00EC286D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D7188EE" w14:textId="08C5B389" w:rsidR="00EC286D" w:rsidRDefault="00EC286D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Cumplido el objetivo, se completa el punto y la tabla de la comisión, es cuanto puedo informar Señor </w:t>
      </w:r>
      <w:proofErr w:type="gramStart"/>
      <w:r>
        <w:rPr>
          <w:rFonts w:ascii="Arial" w:hAnsi="Arial" w:cs="Arial"/>
          <w:sz w:val="24"/>
          <w:szCs w:val="24"/>
        </w:rPr>
        <w:t>Pre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sidente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DF19AA0" w14:textId="77777777" w:rsidR="00EC286D" w:rsidRDefault="00EC286D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0E9A2AF" w14:textId="77777777" w:rsidR="00B65DD9" w:rsidRDefault="00B65DD9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DBFB805" w14:textId="77777777" w:rsidR="00B65DD9" w:rsidRDefault="00B65DD9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516873F" w14:textId="77777777" w:rsidR="00B57B13" w:rsidRDefault="00B57B13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5787AFF" w14:textId="77777777" w:rsidR="00B57B13" w:rsidRDefault="00B57B13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491C476" w14:textId="77777777" w:rsidR="00B57B13" w:rsidRDefault="00B57B13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5D0E28B" w14:textId="77777777" w:rsidR="00475958" w:rsidRPr="00284C88" w:rsidRDefault="0047595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29D9A52" w14:textId="77777777" w:rsidR="00284C88" w:rsidRDefault="00284C8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ABF37D5" w14:textId="77777777" w:rsidR="00284C88" w:rsidRPr="00284C88" w:rsidRDefault="00284C88" w:rsidP="00284C8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B607398" w14:textId="77777777" w:rsidR="00284C88" w:rsidRPr="003B18F1" w:rsidRDefault="00284C8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84C88" w:rsidRPr="003B18F1" w:rsidSect="003B18F1">
      <w:headerReference w:type="default" r:id="rId7"/>
      <w:footerReference w:type="even" r:id="rId8"/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B845" w14:textId="77777777" w:rsidR="00B02411" w:rsidRDefault="00B02411" w:rsidP="008C679D">
      <w:pPr>
        <w:spacing w:after="0" w:line="240" w:lineRule="auto"/>
      </w:pPr>
      <w:r>
        <w:separator/>
      </w:r>
    </w:p>
  </w:endnote>
  <w:endnote w:type="continuationSeparator" w:id="0">
    <w:p w14:paraId="5DEEC142" w14:textId="77777777" w:rsidR="00B02411" w:rsidRDefault="00B02411" w:rsidP="008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993620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89F325" w14:textId="225E5920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57BA11" w14:textId="77777777" w:rsidR="008C679D" w:rsidRDefault="008C679D" w:rsidP="008C6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44194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6FD3D" w14:textId="331F53E7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678782B" w14:textId="77777777" w:rsidR="008C679D" w:rsidRDefault="008C679D" w:rsidP="008C67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9338" w14:textId="77777777" w:rsidR="00B02411" w:rsidRDefault="00B02411" w:rsidP="008C679D">
      <w:pPr>
        <w:spacing w:after="0" w:line="240" w:lineRule="auto"/>
      </w:pPr>
      <w:r>
        <w:separator/>
      </w:r>
    </w:p>
  </w:footnote>
  <w:footnote w:type="continuationSeparator" w:id="0">
    <w:p w14:paraId="6ED7885E" w14:textId="77777777" w:rsidR="00B02411" w:rsidRDefault="00B02411" w:rsidP="008C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AFFC" w14:textId="56FC12E5" w:rsidR="008C679D" w:rsidRDefault="008C679D">
    <w:pPr>
      <w:pStyle w:val="Encabezado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6DC72A" wp14:editId="6AD0EEC2">
          <wp:simplePos x="0" y="0"/>
          <wp:positionH relativeFrom="column">
            <wp:posOffset>5227955</wp:posOffset>
          </wp:positionH>
          <wp:positionV relativeFrom="paragraph">
            <wp:posOffset>-109220</wp:posOffset>
          </wp:positionV>
          <wp:extent cx="956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DE3"/>
    <w:multiLevelType w:val="hybridMultilevel"/>
    <w:tmpl w:val="65A864B8"/>
    <w:lvl w:ilvl="0" w:tplc="5624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CC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C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E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4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4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29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66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05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F1"/>
    <w:rsid w:val="002125E2"/>
    <w:rsid w:val="00284C88"/>
    <w:rsid w:val="003B18F1"/>
    <w:rsid w:val="003B6BE8"/>
    <w:rsid w:val="003F24D0"/>
    <w:rsid w:val="00475958"/>
    <w:rsid w:val="00501474"/>
    <w:rsid w:val="00842DFD"/>
    <w:rsid w:val="008C679D"/>
    <w:rsid w:val="00B02411"/>
    <w:rsid w:val="00B57B13"/>
    <w:rsid w:val="00B65DD9"/>
    <w:rsid w:val="00E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7B6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D"/>
  </w:style>
  <w:style w:type="paragraph" w:styleId="Piedepgina">
    <w:name w:val="footer"/>
    <w:basedOn w:val="Normal"/>
    <w:link w:val="Piedepgina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D"/>
  </w:style>
  <w:style w:type="character" w:styleId="Nmerodepgina">
    <w:name w:val="page number"/>
    <w:basedOn w:val="Fuentedeprrafopredeter"/>
    <w:uiPriority w:val="99"/>
    <w:semiHidden/>
    <w:unhideWhenUsed/>
    <w:rsid w:val="008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144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826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Erwin Rosas</cp:lastModifiedBy>
  <cp:revision>3</cp:revision>
  <cp:lastPrinted>2022-07-13T14:51:00Z</cp:lastPrinted>
  <dcterms:created xsi:type="dcterms:W3CDTF">2022-07-13T14:29:00Z</dcterms:created>
  <dcterms:modified xsi:type="dcterms:W3CDTF">2022-07-13T14:56:00Z</dcterms:modified>
</cp:coreProperties>
</file>