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105F" w14:textId="76CDB9E5" w:rsidR="003F24D0" w:rsidRDefault="003F24D0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618618" w14:textId="6BE6691E" w:rsidR="009D65AA" w:rsidRPr="00951AA4" w:rsidRDefault="009D65AA" w:rsidP="003B18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1AA4">
        <w:rPr>
          <w:rFonts w:ascii="Arial" w:hAnsi="Arial" w:cs="Arial"/>
          <w:b/>
          <w:sz w:val="24"/>
          <w:szCs w:val="24"/>
        </w:rPr>
        <w:t>INFORME COMISIÓN DE INFRAESTRUCTURA PARA PLENO 15.06.2022</w:t>
      </w:r>
    </w:p>
    <w:p w14:paraId="512E51CD" w14:textId="77777777" w:rsidR="009D65AA" w:rsidRDefault="009D65AA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presentó el Jefe de División de Infraestructura y Transportes don Bernard Flores, para presentar informe sobre 3 temas:</w:t>
      </w:r>
    </w:p>
    <w:p w14:paraId="3E3568B7" w14:textId="77777777" w:rsidR="009D65AA" w:rsidRDefault="009D65AA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Situación de los proyectos eléctricos, actual y futuro, presentado por el jefe de la unidad de electrificación rural del Gore, Armin Fernández</w:t>
      </w:r>
    </w:p>
    <w:p w14:paraId="464C32EC" w14:textId="0005371D" w:rsidR="009D65AA" w:rsidRDefault="009D65AA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Gobernanza plan maestro borde fluvial, presentado por Daniel </w:t>
      </w:r>
      <w:proofErr w:type="spellStart"/>
      <w:r>
        <w:rPr>
          <w:rFonts w:ascii="Arial" w:hAnsi="Arial" w:cs="Arial"/>
          <w:sz w:val="24"/>
          <w:szCs w:val="24"/>
        </w:rPr>
        <w:t>Bifani</w:t>
      </w:r>
      <w:proofErr w:type="spellEnd"/>
      <w:r>
        <w:rPr>
          <w:rFonts w:ascii="Arial" w:hAnsi="Arial" w:cs="Arial"/>
          <w:sz w:val="24"/>
          <w:szCs w:val="24"/>
        </w:rPr>
        <w:t xml:space="preserve"> de planeamiento </w:t>
      </w:r>
      <w:proofErr w:type="spellStart"/>
      <w:r>
        <w:rPr>
          <w:rFonts w:ascii="Arial" w:hAnsi="Arial" w:cs="Arial"/>
          <w:sz w:val="24"/>
          <w:szCs w:val="24"/>
        </w:rPr>
        <w:t>MOP</w:t>
      </w:r>
      <w:proofErr w:type="spellEnd"/>
      <w:r>
        <w:rPr>
          <w:rFonts w:ascii="Arial" w:hAnsi="Arial" w:cs="Arial"/>
          <w:sz w:val="24"/>
          <w:szCs w:val="24"/>
        </w:rPr>
        <w:t xml:space="preserve">, al igual que en el punto 3, Estado de avance nuevos convenios de programación </w:t>
      </w:r>
      <w:proofErr w:type="spellStart"/>
      <w:r>
        <w:rPr>
          <w:rFonts w:ascii="Arial" w:hAnsi="Arial" w:cs="Arial"/>
          <w:sz w:val="24"/>
          <w:szCs w:val="24"/>
        </w:rPr>
        <w:t>MOP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951AA4">
        <w:rPr>
          <w:rFonts w:ascii="Arial" w:hAnsi="Arial" w:cs="Arial"/>
          <w:sz w:val="24"/>
          <w:szCs w:val="24"/>
        </w:rPr>
        <w:t>Gore.</w:t>
      </w:r>
    </w:p>
    <w:p w14:paraId="16FFCFF7" w14:textId="2847BF11" w:rsidR="009D65AA" w:rsidRDefault="009D65AA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primer punto se da a</w:t>
      </w:r>
      <w:r w:rsidR="00951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conoce</w:t>
      </w:r>
      <w:r w:rsidR="00951AA4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avance y montos de inversión por comuna</w:t>
      </w:r>
      <w:r w:rsidR="00951AA4">
        <w:rPr>
          <w:rFonts w:ascii="Arial" w:hAnsi="Arial" w:cs="Arial"/>
          <w:sz w:val="24"/>
          <w:szCs w:val="24"/>
        </w:rPr>
        <w:t xml:space="preserve"> en electrificación rural, como, por ejemplo:</w:t>
      </w:r>
    </w:p>
    <w:p w14:paraId="6379B130" w14:textId="75120E29" w:rsidR="00951AA4" w:rsidRDefault="00951AA4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lagos</w:t>
      </w:r>
      <w:r>
        <w:rPr>
          <w:rFonts w:ascii="Arial" w:hAnsi="Arial" w:cs="Arial"/>
          <w:sz w:val="24"/>
          <w:szCs w:val="24"/>
        </w:rPr>
        <w:tab/>
      </w:r>
      <w:r w:rsidR="009C13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$134.950.000</w:t>
      </w:r>
    </w:p>
    <w:p w14:paraId="0B654599" w14:textId="50B63F38" w:rsidR="00951AA4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Paillaco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$227.116.000</w:t>
      </w:r>
    </w:p>
    <w:p w14:paraId="1D73CDE1" w14:textId="4957FB9A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Panguipulli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$4.447.401.000 (4.447 millones 401 mil pesos)</w:t>
      </w:r>
    </w:p>
    <w:p w14:paraId="45677E69" w14:textId="77777777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$447.556.000</w:t>
      </w:r>
    </w:p>
    <w:p w14:paraId="53E3ACE1" w14:textId="77777777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$347.685.000</w:t>
      </w:r>
    </w:p>
    <w:p w14:paraId="2A13D6C6" w14:textId="6BCC6EEF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Máfil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$504.932.000</w:t>
      </w:r>
    </w:p>
    <w:p w14:paraId="1CC8A636" w14:textId="79931DBF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Futrono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$388.962.000</w:t>
      </w:r>
    </w:p>
    <w:p w14:paraId="1BE93208" w14:textId="6A23F8DF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 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$1.157.677.000 (1.157 millones, 677.000 pesos)</w:t>
      </w:r>
    </w:p>
    <w:p w14:paraId="55C8EC47" w14:textId="76B4474D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$1.365.781.000 (1365 millones, 781 mil pesos)</w:t>
      </w:r>
    </w:p>
    <w:p w14:paraId="35C6A754" w14:textId="65BB14BC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$436.908.000</w:t>
      </w:r>
    </w:p>
    <w:p w14:paraId="0E86A744" w14:textId="4F5C2BC5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cartera 2022 que se encuentra en desarrollo es de $2.275.274.000, con un aporte del </w:t>
      </w:r>
      <w:proofErr w:type="spellStart"/>
      <w:r>
        <w:rPr>
          <w:rFonts w:ascii="Arial" w:hAnsi="Arial" w:cs="Arial"/>
          <w:sz w:val="24"/>
          <w:szCs w:val="24"/>
        </w:rPr>
        <w:t>FNDR</w:t>
      </w:r>
      <w:proofErr w:type="spellEnd"/>
      <w:r>
        <w:rPr>
          <w:rFonts w:ascii="Arial" w:hAnsi="Arial" w:cs="Arial"/>
          <w:sz w:val="24"/>
          <w:szCs w:val="24"/>
        </w:rPr>
        <w:t xml:space="preserve"> de casi 1900 millones.</w:t>
      </w:r>
    </w:p>
    <w:p w14:paraId="1E080E4B" w14:textId="75689B07" w:rsidR="009C1303" w:rsidRDefault="007161FC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evaluación de </w:t>
      </w:r>
      <w:proofErr w:type="spellStart"/>
      <w:r>
        <w:rPr>
          <w:rFonts w:ascii="Arial" w:hAnsi="Arial" w:cs="Arial"/>
          <w:sz w:val="24"/>
          <w:szCs w:val="24"/>
        </w:rPr>
        <w:t>Mideso</w:t>
      </w:r>
      <w:proofErr w:type="spellEnd"/>
      <w:r>
        <w:rPr>
          <w:rFonts w:ascii="Arial" w:hAnsi="Arial" w:cs="Arial"/>
          <w:sz w:val="24"/>
          <w:szCs w:val="24"/>
        </w:rPr>
        <w:t>, se encuentran proyectos por más de 5.500 millones.</w:t>
      </w:r>
    </w:p>
    <w:p w14:paraId="387FE239" w14:textId="4910577A" w:rsidR="007161FC" w:rsidRDefault="007161FC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detalles se encuentran en la presentación pertinente.</w:t>
      </w:r>
    </w:p>
    <w:p w14:paraId="12F8BE83" w14:textId="5353287B" w:rsidR="007161FC" w:rsidRDefault="007161FC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segundo punto, se da cuenta de la estructura de gobernanza del plan maestro del borde fluvial, donde según el esquema mostrado, será liderado por el Gobernador Regional, </w:t>
      </w:r>
      <w:r w:rsidR="00B60FB6">
        <w:rPr>
          <w:rFonts w:ascii="Arial" w:hAnsi="Arial" w:cs="Arial"/>
          <w:sz w:val="24"/>
          <w:szCs w:val="24"/>
        </w:rPr>
        <w:t xml:space="preserve">una vicepresidencia ejecutiva liderada por </w:t>
      </w:r>
      <w:proofErr w:type="spellStart"/>
      <w:r w:rsidR="00B60FB6">
        <w:rPr>
          <w:rFonts w:ascii="Arial" w:hAnsi="Arial" w:cs="Arial"/>
          <w:sz w:val="24"/>
          <w:szCs w:val="24"/>
        </w:rPr>
        <w:t>MOP</w:t>
      </w:r>
      <w:proofErr w:type="spellEnd"/>
      <w:r w:rsidR="00B60FB6">
        <w:rPr>
          <w:rFonts w:ascii="Arial" w:hAnsi="Arial" w:cs="Arial"/>
          <w:sz w:val="24"/>
          <w:szCs w:val="24"/>
        </w:rPr>
        <w:t xml:space="preserve"> y consejos temáticos; </w:t>
      </w:r>
      <w:proofErr w:type="gramStart"/>
      <w:r>
        <w:rPr>
          <w:rFonts w:ascii="Arial" w:hAnsi="Arial" w:cs="Arial"/>
          <w:sz w:val="24"/>
          <w:szCs w:val="24"/>
        </w:rPr>
        <w:t>exist</w:t>
      </w:r>
      <w:r w:rsidR="00B60FB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una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A4881">
        <w:rPr>
          <w:rFonts w:ascii="Arial" w:hAnsi="Arial" w:cs="Arial"/>
          <w:sz w:val="24"/>
          <w:szCs w:val="24"/>
        </w:rPr>
        <w:t>secretaria</w:t>
      </w:r>
      <w:r>
        <w:rPr>
          <w:rFonts w:ascii="Arial" w:hAnsi="Arial" w:cs="Arial"/>
          <w:sz w:val="24"/>
          <w:szCs w:val="24"/>
        </w:rPr>
        <w:t xml:space="preserve"> técnica </w:t>
      </w:r>
      <w:r w:rsidR="00B60FB6">
        <w:rPr>
          <w:rFonts w:ascii="Arial" w:hAnsi="Arial" w:cs="Arial"/>
          <w:sz w:val="24"/>
          <w:szCs w:val="24"/>
        </w:rPr>
        <w:t>y una unidad gestora, la presentación da cuenta de los detalles .</w:t>
      </w:r>
    </w:p>
    <w:p w14:paraId="62F54F63" w14:textId="77777777" w:rsidR="00C6685F" w:rsidRDefault="00C6685F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44DD30" w14:textId="6F31C23B" w:rsidR="00B60FB6" w:rsidRDefault="00B60FB6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tema ha sido informado permanentemente en esta comisión y con </w:t>
      </w:r>
      <w:r w:rsidR="00C6685F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 decisión y conformación de gobernanza se da inicio formal a la implementación del plan, dentro del cual se está trabajando un convenio de programación a implementar lo antes posible.</w:t>
      </w:r>
    </w:p>
    <w:p w14:paraId="6F7E1DF9" w14:textId="26E42CC5" w:rsidR="00B60FB6" w:rsidRDefault="00B60FB6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último </w:t>
      </w:r>
      <w:proofErr w:type="gramStart"/>
      <w:r>
        <w:rPr>
          <w:rFonts w:ascii="Arial" w:hAnsi="Arial" w:cs="Arial"/>
          <w:sz w:val="24"/>
          <w:szCs w:val="24"/>
        </w:rPr>
        <w:t>punto ,</w:t>
      </w:r>
      <w:proofErr w:type="gramEnd"/>
      <w:r>
        <w:rPr>
          <w:rFonts w:ascii="Arial" w:hAnsi="Arial" w:cs="Arial"/>
          <w:sz w:val="24"/>
          <w:szCs w:val="24"/>
        </w:rPr>
        <w:t xml:space="preserve"> se da a conocer el avance en el levantamiento de información y ponderaciones territoriales y provinciales solicitadas por la comisión en los 3 convenios que se espera concretar con </w:t>
      </w:r>
      <w:proofErr w:type="spellStart"/>
      <w:r>
        <w:rPr>
          <w:rFonts w:ascii="Arial" w:hAnsi="Arial" w:cs="Arial"/>
          <w:sz w:val="24"/>
          <w:szCs w:val="24"/>
        </w:rPr>
        <w:t>Mop</w:t>
      </w:r>
      <w:proofErr w:type="spellEnd"/>
      <w:r>
        <w:rPr>
          <w:rFonts w:ascii="Arial" w:hAnsi="Arial" w:cs="Arial"/>
          <w:sz w:val="24"/>
          <w:szCs w:val="24"/>
        </w:rPr>
        <w:t>, Caminos básicos</w:t>
      </w:r>
      <w:r w:rsidR="00806739">
        <w:rPr>
          <w:rFonts w:ascii="Arial" w:hAnsi="Arial" w:cs="Arial"/>
          <w:sz w:val="24"/>
          <w:szCs w:val="24"/>
        </w:rPr>
        <w:t xml:space="preserve"> (2), </w:t>
      </w:r>
      <w:r w:rsidR="00C6685F">
        <w:rPr>
          <w:rFonts w:ascii="Arial" w:hAnsi="Arial" w:cs="Arial"/>
          <w:sz w:val="24"/>
          <w:szCs w:val="24"/>
        </w:rPr>
        <w:t xml:space="preserve">Servicios básicos ( </w:t>
      </w:r>
      <w:proofErr w:type="spellStart"/>
      <w:r w:rsidR="00C6685F">
        <w:rPr>
          <w:rFonts w:ascii="Arial" w:hAnsi="Arial" w:cs="Arial"/>
          <w:sz w:val="24"/>
          <w:szCs w:val="24"/>
        </w:rPr>
        <w:t>APR</w:t>
      </w:r>
      <w:proofErr w:type="spellEnd"/>
      <w:r w:rsidR="00C6685F">
        <w:rPr>
          <w:rFonts w:ascii="Arial" w:hAnsi="Arial" w:cs="Arial"/>
          <w:sz w:val="24"/>
          <w:szCs w:val="24"/>
        </w:rPr>
        <w:t xml:space="preserve"> y Saneamiento Sanitario) y el de Bordes Fluviales.</w:t>
      </w:r>
    </w:p>
    <w:p w14:paraId="1A963F63" w14:textId="1381D7BF" w:rsidR="00C6685F" w:rsidRDefault="00C6685F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ésta se muestran los montos corregidos por servicio y por comuna, además de los montos por provincia.</w:t>
      </w:r>
    </w:p>
    <w:p w14:paraId="773E83AA" w14:textId="5BE22998" w:rsidR="00C6685F" w:rsidRDefault="00C6685F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tema seguirá en desarrollo, pronto a ser presentado formalmente al ministerio y posteriormente a resolución del Gobierno Regional, para que esperemos, poder firmarlos antes de fin de año y que se inicie el financiamiento compartico y convenido con el Ministerio de obras públicas y en menor cuantía con otros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ministerios, como el Minvu.</w:t>
      </w:r>
    </w:p>
    <w:p w14:paraId="69608E6A" w14:textId="0D19A564" w:rsidR="00C6685F" w:rsidRDefault="00C6685F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cuanto puedo informar señor presidente.</w:t>
      </w:r>
    </w:p>
    <w:p w14:paraId="2BEAB051" w14:textId="77777777" w:rsidR="00C6685F" w:rsidRDefault="00C6685F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7AA9DD" w14:textId="77777777" w:rsidR="00C6685F" w:rsidRDefault="00C6685F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0DF86" w14:textId="77777777" w:rsidR="00B60FB6" w:rsidRDefault="00B60FB6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DA2E05" w14:textId="77777777" w:rsidR="007161FC" w:rsidRDefault="007161FC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44F50B" w14:textId="77777777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8A0E1A" w14:textId="56E8550E" w:rsidR="009C1303" w:rsidRDefault="009C1303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BAAB99" w14:textId="77777777" w:rsidR="00951AA4" w:rsidRDefault="00951AA4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5B93D8" w14:textId="78328CB0" w:rsidR="009D65AA" w:rsidRPr="009D65AA" w:rsidRDefault="009D65AA" w:rsidP="009D65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9D65AA" w:rsidRPr="009D65AA" w:rsidSect="003B18F1">
      <w:headerReference w:type="default" r:id="rId7"/>
      <w:footerReference w:type="even" r:id="rId8"/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56CA" w14:textId="77777777" w:rsidR="00034F3C" w:rsidRDefault="00034F3C" w:rsidP="008C679D">
      <w:pPr>
        <w:spacing w:after="0" w:line="240" w:lineRule="auto"/>
      </w:pPr>
      <w:r>
        <w:separator/>
      </w:r>
    </w:p>
  </w:endnote>
  <w:endnote w:type="continuationSeparator" w:id="0">
    <w:p w14:paraId="2579A1A6" w14:textId="77777777" w:rsidR="00034F3C" w:rsidRDefault="00034F3C" w:rsidP="008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993620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89F325" w14:textId="225E5920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57BA11" w14:textId="77777777" w:rsidR="008C679D" w:rsidRDefault="008C679D" w:rsidP="008C6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44194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6FD3D" w14:textId="331F53E7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678782B" w14:textId="77777777" w:rsidR="008C679D" w:rsidRDefault="008C679D" w:rsidP="008C67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8158" w14:textId="77777777" w:rsidR="00034F3C" w:rsidRDefault="00034F3C" w:rsidP="008C679D">
      <w:pPr>
        <w:spacing w:after="0" w:line="240" w:lineRule="auto"/>
      </w:pPr>
      <w:r>
        <w:separator/>
      </w:r>
    </w:p>
  </w:footnote>
  <w:footnote w:type="continuationSeparator" w:id="0">
    <w:p w14:paraId="4B234CF6" w14:textId="77777777" w:rsidR="00034F3C" w:rsidRDefault="00034F3C" w:rsidP="008C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AFFC" w14:textId="56FC12E5" w:rsidR="008C679D" w:rsidRDefault="008C679D">
    <w:pPr>
      <w:pStyle w:val="Encabezado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6DC72A" wp14:editId="6AD0EEC2">
          <wp:simplePos x="0" y="0"/>
          <wp:positionH relativeFrom="column">
            <wp:posOffset>5227955</wp:posOffset>
          </wp:positionH>
          <wp:positionV relativeFrom="paragraph">
            <wp:posOffset>-109220</wp:posOffset>
          </wp:positionV>
          <wp:extent cx="956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2FA7"/>
    <w:multiLevelType w:val="hybridMultilevel"/>
    <w:tmpl w:val="54C0BF36"/>
    <w:lvl w:ilvl="0" w:tplc="19986612">
      <w:start w:val="1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F1"/>
    <w:rsid w:val="00034F3C"/>
    <w:rsid w:val="000A4881"/>
    <w:rsid w:val="003B18F1"/>
    <w:rsid w:val="003F24D0"/>
    <w:rsid w:val="007161FC"/>
    <w:rsid w:val="00806739"/>
    <w:rsid w:val="00842DFD"/>
    <w:rsid w:val="008C679D"/>
    <w:rsid w:val="00951AA4"/>
    <w:rsid w:val="009C1303"/>
    <w:rsid w:val="009D65AA"/>
    <w:rsid w:val="00B60FB6"/>
    <w:rsid w:val="00C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7B6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D"/>
  </w:style>
  <w:style w:type="paragraph" w:styleId="Piedepgina">
    <w:name w:val="footer"/>
    <w:basedOn w:val="Normal"/>
    <w:link w:val="Piedepgina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D"/>
  </w:style>
  <w:style w:type="character" w:styleId="Nmerodepgina">
    <w:name w:val="page number"/>
    <w:basedOn w:val="Fuentedeprrafopredeter"/>
    <w:uiPriority w:val="99"/>
    <w:semiHidden/>
    <w:unhideWhenUsed/>
    <w:rsid w:val="008C679D"/>
  </w:style>
  <w:style w:type="paragraph" w:styleId="Prrafodelista">
    <w:name w:val="List Paragraph"/>
    <w:basedOn w:val="Normal"/>
    <w:uiPriority w:val="34"/>
    <w:qFormat/>
    <w:rsid w:val="009D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Erwin Rosas</cp:lastModifiedBy>
  <cp:revision>6</cp:revision>
  <dcterms:created xsi:type="dcterms:W3CDTF">2022-06-15T18:41:00Z</dcterms:created>
  <dcterms:modified xsi:type="dcterms:W3CDTF">2022-06-15T19:21:00Z</dcterms:modified>
</cp:coreProperties>
</file>