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55" w:rsidRPr="00FD5A78" w:rsidRDefault="00C55596" w:rsidP="00C55596">
      <w:pPr>
        <w:jc w:val="center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FD5A78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COMISIÓN DE FOMENTO PRODUCTIVO</w:t>
      </w:r>
      <w:r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(9-4-2024)</w:t>
      </w:r>
    </w:p>
    <w:p w:rsidR="00C55596" w:rsidRPr="00C55596" w:rsidRDefault="00C55596" w:rsidP="00C55596">
      <w:pPr>
        <w:jc w:val="center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C55596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PRESENTACIÓN Y ANÁLISIS “DISTRIBUCIÓN FONDO REGIONAL PARA LA PRODUCTIVIDAD Y DESARROLLO”</w:t>
      </w:r>
    </w:p>
    <w:p w:rsidR="00C55596" w:rsidRDefault="00C55596" w:rsidP="00C55596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C55596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Expus</w:t>
      </w:r>
      <w:r w:rsidR="003A4C56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ieron</w:t>
      </w:r>
      <w:r w:rsidRPr="00C55596">
        <w:rPr>
          <w:rFonts w:ascii="Microsoft JhengHei Light" w:eastAsia="Microsoft JhengHei Light" w:hAnsi="Microsoft JhengHei Light"/>
          <w:sz w:val="20"/>
          <w:szCs w:val="20"/>
          <w:lang w:val="es-MX"/>
        </w:rPr>
        <w:t>: Miguel Ángel Martínez/Jefe DIFOI</w:t>
      </w:r>
      <w:r w:rsidR="00846AF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 w:rsidR="00846AFA">
        <w:rPr>
          <w:rFonts w:ascii="Microsoft JhengHei Light" w:eastAsia="Microsoft JhengHei Light" w:hAnsi="Microsoft JhengHei Light"/>
          <w:sz w:val="20"/>
          <w:szCs w:val="20"/>
          <w:lang w:val="es-MX"/>
        </w:rPr>
        <w:tab/>
      </w:r>
      <w:r w:rsidR="00846AFA">
        <w:rPr>
          <w:rFonts w:ascii="Microsoft JhengHei Light" w:eastAsia="Microsoft JhengHei Light" w:hAnsi="Microsoft JhengHei Light"/>
          <w:sz w:val="20"/>
          <w:szCs w:val="20"/>
          <w:lang w:val="es-MX"/>
        </w:rPr>
        <w:tab/>
        <w:t>Camila Mejías/Profesional DIFOI</w:t>
      </w:r>
    </w:p>
    <w:p w:rsidR="00C55596" w:rsidRDefault="00846AFA" w:rsidP="00FD5A78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846AFA">
        <w:rPr>
          <w:rFonts w:ascii="Microsoft JhengHei Light" w:eastAsia="Microsoft JhengHei Light" w:hAnsi="Microsoft JhengHei Light"/>
          <w:sz w:val="20"/>
          <w:szCs w:val="20"/>
          <w:lang w:val="es-MX"/>
        </w:rPr>
        <w:t>E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l</w:t>
      </w:r>
      <w:r w:rsidRPr="00846AF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Fondo Regional para la Productividad y D</w:t>
      </w:r>
      <w:r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>esarrollo</w:t>
      </w:r>
      <w:r w:rsidRPr="00846AF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e</w:t>
      </w:r>
      <w:r w:rsidRPr="00846AFA">
        <w:rPr>
          <w:rFonts w:ascii="Microsoft JhengHei Light" w:eastAsia="Microsoft JhengHei Light" w:hAnsi="Microsoft JhengHei Light"/>
          <w:sz w:val="20"/>
          <w:szCs w:val="20"/>
          <w:lang w:val="es-MX"/>
        </w:rPr>
        <w:t>s un fondo cuyos recursos se desti</w:t>
      </w:r>
      <w:r w:rsidR="0065629A">
        <w:rPr>
          <w:rFonts w:ascii="Microsoft JhengHei Light" w:eastAsia="Microsoft JhengHei Light" w:hAnsi="Microsoft JhengHei Light"/>
          <w:sz w:val="20"/>
          <w:szCs w:val="20"/>
          <w:lang w:val="es-MX"/>
        </w:rPr>
        <w:t>na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n al financiamiento de los Gobiernos R</w:t>
      </w:r>
      <w:r w:rsidRPr="00846AFA">
        <w:rPr>
          <w:rFonts w:ascii="Microsoft JhengHei Light" w:eastAsia="Microsoft JhengHei Light" w:hAnsi="Microsoft JhengHei Light"/>
          <w:sz w:val="20"/>
          <w:szCs w:val="20"/>
          <w:lang w:val="es-MX"/>
        </w:rPr>
        <w:t>egionales a través de sus presupuestos de inversión.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 w:rsid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La </w:t>
      </w:r>
      <w:r w:rsidR="00FD5A78"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distribución </w:t>
      </w:r>
      <w:r w:rsid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de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estos recursos </w:t>
      </w:r>
      <w:r w:rsidR="00FD5A78"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disponibles </w:t>
      </w:r>
      <w:r w:rsidR="0065629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en la región </w:t>
      </w:r>
      <w:r w:rsid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es de </w:t>
      </w:r>
      <w:r w:rsidR="00FD5A78" w:rsidRPr="001B7755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M$5.071.550</w:t>
      </w:r>
      <w:r w:rsid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contemplado en la </w:t>
      </w:r>
      <w:r w:rsidR="00FD5A78"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>Ley de Presupuesto</w:t>
      </w:r>
      <w:r w:rsid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 w:rsidR="00FD5A78"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>2024</w:t>
      </w:r>
      <w:r w:rsid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>.</w:t>
      </w:r>
    </w:p>
    <w:p w:rsidR="00FD5A78" w:rsidRDefault="00C56CCA" w:rsidP="00FD5A78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Dicho</w:t>
      </w:r>
      <w:r w:rsid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 w:rsidR="00F214D7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presupuesto se distribuye </w:t>
      </w:r>
      <w:r w:rsid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>en:</w:t>
      </w:r>
    </w:p>
    <w:p w:rsidR="00FD5A78" w:rsidRDefault="00FD5A78" w:rsidP="00706ACE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FD5A78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COMPROMISOS Y ARRASTRES por $</w:t>
      </w:r>
      <w:r w:rsidRPr="00FD5A78">
        <w:rPr>
          <w:b/>
          <w:lang w:val="es-MX"/>
        </w:rPr>
        <w:t xml:space="preserve"> </w:t>
      </w:r>
      <w:r w:rsidRPr="00FD5A78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1.224.792.000</w:t>
      </w:r>
      <w:r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>. Son Transferencia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s</w:t>
      </w:r>
      <w:r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de recursos para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4</w:t>
      </w:r>
      <w:r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iniciativas del segundo concurso del Fondo de Innovación para la Competitividad del año 2023, pertenecientes a PUC, </w:t>
      </w:r>
      <w:proofErr w:type="spellStart"/>
      <w:r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>UACh</w:t>
      </w:r>
      <w:proofErr w:type="spellEnd"/>
      <w:r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y </w:t>
      </w:r>
      <w:proofErr w:type="spellStart"/>
      <w:r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>UdeC</w:t>
      </w:r>
      <w:proofErr w:type="spellEnd"/>
      <w:r w:rsidRPr="00FD5A78">
        <w:rPr>
          <w:rFonts w:ascii="Microsoft JhengHei Light" w:eastAsia="Microsoft JhengHei Light" w:hAnsi="Microsoft JhengHei Light"/>
          <w:sz w:val="20"/>
          <w:szCs w:val="20"/>
          <w:lang w:val="es-MX"/>
        </w:rPr>
        <w:t>.</w:t>
      </w:r>
    </w:p>
    <w:p w:rsidR="001B7755" w:rsidRPr="001B7755" w:rsidRDefault="001B7755" w:rsidP="00554B7C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1B7755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CONCURSO FONDO REGIONAL PARA LA PRODUCTIVIDAD Y DESARROLLO 2024 por $</w:t>
      </w:r>
      <w:r w:rsidRPr="001B7755">
        <w:rPr>
          <w:b/>
          <w:lang w:val="es-MX"/>
        </w:rPr>
        <w:t xml:space="preserve"> </w:t>
      </w:r>
      <w:r w:rsidRPr="001B7755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1.120.713.860</w:t>
      </w:r>
      <w:r w:rsidRPr="001B7755">
        <w:rPr>
          <w:rFonts w:ascii="Microsoft JhengHei Light" w:eastAsia="Microsoft JhengHei Light" w:hAnsi="Microsoft JhengHei Light"/>
          <w:sz w:val="20"/>
          <w:szCs w:val="20"/>
          <w:lang w:val="es-MX"/>
        </w:rPr>
        <w:t>. Concurso por un costo total de M$6.000.000 para financiar iniciativas en las categorías de competitividad e innovación, considerando los arrastres futuros correspondientes de cada programa a financiar.</w:t>
      </w:r>
    </w:p>
    <w:p w:rsidR="001B7755" w:rsidRPr="001B7755" w:rsidRDefault="001B7755" w:rsidP="00343939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1B7755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TRANSFERENCIA A INSTITUCIONES PÚBLICAS por $2.726.044.140</w:t>
      </w:r>
      <w:r w:rsidRPr="001B7755">
        <w:rPr>
          <w:rFonts w:ascii="Microsoft JhengHei Light" w:eastAsia="Microsoft JhengHei Light" w:hAnsi="Microsoft JhengHei Light"/>
          <w:sz w:val="20"/>
          <w:szCs w:val="20"/>
          <w:lang w:val="es-MX"/>
        </w:rPr>
        <w:t>. Para financiar programas pertenecientes a SERCOTEC, INDAP, SERNATUR, PROCHILE, Universidad de Chile e INDESP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A.</w:t>
      </w:r>
    </w:p>
    <w:p w:rsidR="001B7755" w:rsidRDefault="001B7755" w:rsidP="001B7755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1B7755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El detalle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presupuestario de cada uno de los 3 ítems se encuentra en sus respectivos correos electrónicos.</w:t>
      </w:r>
      <w:r w:rsidR="00877456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No obstante</w:t>
      </w:r>
      <w:r w:rsidR="00481A8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, </w:t>
      </w:r>
      <w:r w:rsidR="00877456">
        <w:rPr>
          <w:rFonts w:ascii="Microsoft JhengHei Light" w:eastAsia="Microsoft JhengHei Light" w:hAnsi="Microsoft JhengHei Light"/>
          <w:sz w:val="20"/>
          <w:szCs w:val="20"/>
          <w:lang w:val="es-MX"/>
        </w:rPr>
        <w:t>cada uno de estos ítems entrega información respecto del costo total de cada uno</w:t>
      </w:r>
      <w:r w:rsidR="00F214D7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de ellos</w:t>
      </w:r>
      <w:r w:rsidR="00877456">
        <w:rPr>
          <w:rFonts w:ascii="Microsoft JhengHei Light" w:eastAsia="Microsoft JhengHei Light" w:hAnsi="Microsoft JhengHei Light"/>
          <w:sz w:val="20"/>
          <w:szCs w:val="20"/>
          <w:lang w:val="es-MX"/>
        </w:rPr>
        <w:t>, el presupuesto disponible para el presente año y los correspondientes arrastres futuros</w:t>
      </w:r>
      <w:r w:rsidR="00481A88">
        <w:rPr>
          <w:rFonts w:ascii="Microsoft JhengHei Light" w:eastAsia="Microsoft JhengHei Light" w:hAnsi="Microsoft JhengHei Light"/>
          <w:sz w:val="20"/>
          <w:szCs w:val="20"/>
          <w:lang w:val="es-MX"/>
        </w:rPr>
        <w:t>,</w:t>
      </w:r>
      <w:r w:rsidR="00877456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a saber: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4"/>
        <w:gridCol w:w="1561"/>
        <w:gridCol w:w="1588"/>
        <w:gridCol w:w="1585"/>
      </w:tblGrid>
      <w:tr w:rsidR="00877456" w:rsidTr="00877456">
        <w:tc>
          <w:tcPr>
            <w:tcW w:w="4673" w:type="dxa"/>
          </w:tcPr>
          <w:p w:rsidR="00877456" w:rsidRPr="00877456" w:rsidRDefault="00877456" w:rsidP="00877456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877456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ÍTEM</w:t>
            </w:r>
          </w:p>
        </w:tc>
        <w:tc>
          <w:tcPr>
            <w:tcW w:w="1276" w:type="dxa"/>
          </w:tcPr>
          <w:p w:rsidR="00877456" w:rsidRPr="00877456" w:rsidRDefault="00877456" w:rsidP="00877456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877456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PRESUPUESTO 2024 ($)</w:t>
            </w:r>
          </w:p>
        </w:tc>
        <w:tc>
          <w:tcPr>
            <w:tcW w:w="1417" w:type="dxa"/>
          </w:tcPr>
          <w:p w:rsidR="00877456" w:rsidRPr="00877456" w:rsidRDefault="00877456" w:rsidP="00877456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877456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ARRASTRES FUTUROS ($)</w:t>
            </w:r>
          </w:p>
        </w:tc>
        <w:tc>
          <w:tcPr>
            <w:tcW w:w="1462" w:type="dxa"/>
          </w:tcPr>
          <w:p w:rsidR="00877456" w:rsidRPr="00877456" w:rsidRDefault="00877456" w:rsidP="00877456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877456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COSTO TOTAL ($)</w:t>
            </w:r>
          </w:p>
        </w:tc>
      </w:tr>
      <w:tr w:rsidR="00877456" w:rsidTr="00877456">
        <w:tc>
          <w:tcPr>
            <w:tcW w:w="4673" w:type="dxa"/>
          </w:tcPr>
          <w:p w:rsidR="00877456" w:rsidRPr="00481A88" w:rsidRDefault="00877456" w:rsidP="001B7755">
            <w:pPr>
              <w:jc w:val="both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COMPROMISOS Y ARRASTRES 2024</w:t>
            </w:r>
          </w:p>
        </w:tc>
        <w:tc>
          <w:tcPr>
            <w:tcW w:w="1276" w:type="dxa"/>
          </w:tcPr>
          <w:p w:rsidR="00877456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1.224.792.000</w:t>
            </w:r>
          </w:p>
        </w:tc>
        <w:tc>
          <w:tcPr>
            <w:tcW w:w="1417" w:type="dxa"/>
          </w:tcPr>
          <w:p w:rsidR="00877456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4.036.388.000</w:t>
            </w:r>
          </w:p>
        </w:tc>
        <w:tc>
          <w:tcPr>
            <w:tcW w:w="1462" w:type="dxa"/>
          </w:tcPr>
          <w:p w:rsidR="00877456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6.516.827.000</w:t>
            </w:r>
          </w:p>
        </w:tc>
      </w:tr>
      <w:tr w:rsidR="00877456" w:rsidTr="00877456">
        <w:tc>
          <w:tcPr>
            <w:tcW w:w="4673" w:type="dxa"/>
          </w:tcPr>
          <w:p w:rsidR="00877456" w:rsidRPr="00481A88" w:rsidRDefault="00877456" w:rsidP="001B7755">
            <w:pPr>
              <w:jc w:val="both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TRANSFERENCIAS A INSTITUCIONES PÚBLICAS</w:t>
            </w:r>
          </w:p>
        </w:tc>
        <w:tc>
          <w:tcPr>
            <w:tcW w:w="1276" w:type="dxa"/>
          </w:tcPr>
          <w:p w:rsid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877456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2.726.044.140</w:t>
            </w:r>
          </w:p>
        </w:tc>
        <w:tc>
          <w:tcPr>
            <w:tcW w:w="1417" w:type="dxa"/>
          </w:tcPr>
          <w:p w:rsid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877456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11.664.931.860</w:t>
            </w:r>
          </w:p>
        </w:tc>
        <w:tc>
          <w:tcPr>
            <w:tcW w:w="1462" w:type="dxa"/>
          </w:tcPr>
          <w:p w:rsid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877456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14.390.976.000</w:t>
            </w:r>
          </w:p>
        </w:tc>
      </w:tr>
      <w:tr w:rsidR="00481A88" w:rsidTr="00877456">
        <w:tc>
          <w:tcPr>
            <w:tcW w:w="4673" w:type="dxa"/>
          </w:tcPr>
          <w:p w:rsidR="00481A88" w:rsidRPr="00481A88" w:rsidRDefault="00481A88" w:rsidP="001B7755">
            <w:pPr>
              <w:jc w:val="both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CONCURSO FONDO REGIONAL PARA LA PRODUCTIVIDAD Y DESARROLLO</w:t>
            </w:r>
          </w:p>
        </w:tc>
        <w:tc>
          <w:tcPr>
            <w:tcW w:w="1276" w:type="dxa"/>
          </w:tcPr>
          <w:p w:rsid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1.120.713.860</w:t>
            </w:r>
          </w:p>
        </w:tc>
        <w:tc>
          <w:tcPr>
            <w:tcW w:w="1417" w:type="dxa"/>
          </w:tcPr>
          <w:p w:rsid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4.879.286.140</w:t>
            </w:r>
          </w:p>
        </w:tc>
        <w:tc>
          <w:tcPr>
            <w:tcW w:w="1462" w:type="dxa"/>
          </w:tcPr>
          <w:p w:rsid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6.000.000.000</w:t>
            </w:r>
          </w:p>
        </w:tc>
      </w:tr>
      <w:tr w:rsidR="00481A88" w:rsidTr="00877456">
        <w:tc>
          <w:tcPr>
            <w:tcW w:w="4673" w:type="dxa"/>
          </w:tcPr>
          <w:p w:rsidR="00481A88" w:rsidRPr="00481A88" w:rsidRDefault="00481A88" w:rsidP="001B7755">
            <w:pPr>
              <w:jc w:val="both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276" w:type="dxa"/>
          </w:tcPr>
          <w:p w:rsidR="00481A88" w:rsidRP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5.071.550.000</w:t>
            </w:r>
          </w:p>
        </w:tc>
        <w:tc>
          <w:tcPr>
            <w:tcW w:w="1417" w:type="dxa"/>
          </w:tcPr>
          <w:p w:rsidR="00481A88" w:rsidRP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20.580.606.000</w:t>
            </w:r>
          </w:p>
        </w:tc>
        <w:tc>
          <w:tcPr>
            <w:tcW w:w="1462" w:type="dxa"/>
          </w:tcPr>
          <w:p w:rsidR="00481A88" w:rsidRPr="00481A88" w:rsidRDefault="00481A88" w:rsidP="00481A88">
            <w:pPr>
              <w:jc w:val="right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481A88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26.907.803</w:t>
            </w:r>
            <w:r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.000</w:t>
            </w:r>
          </w:p>
        </w:tc>
      </w:tr>
    </w:tbl>
    <w:p w:rsidR="00877456" w:rsidRPr="001B7755" w:rsidRDefault="00877456" w:rsidP="001B7755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</w:p>
    <w:p w:rsidR="00C55596" w:rsidRPr="00C55596" w:rsidRDefault="00C55596" w:rsidP="00C55596">
      <w:pPr>
        <w:jc w:val="center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C55596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lastRenderedPageBreak/>
        <w:t>PRESENTACIÓN Y ANÁLISIS PERSPECTIVAS DE AUMENTO EN RECALADAS DE CRUCEROS EN BAHÍA DE CORRAL</w:t>
      </w:r>
    </w:p>
    <w:p w:rsidR="00C55596" w:rsidRDefault="00C55596" w:rsidP="00C55596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C55596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Expuso</w:t>
      </w:r>
      <w:r w:rsidRPr="00C55596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: </w:t>
      </w:r>
      <w:proofErr w:type="spellStart"/>
      <w:r w:rsidRPr="00C55596">
        <w:rPr>
          <w:rFonts w:ascii="Microsoft JhengHei Light" w:eastAsia="Microsoft JhengHei Light" w:hAnsi="Microsoft JhengHei Light"/>
          <w:sz w:val="20"/>
          <w:szCs w:val="20"/>
          <w:lang w:val="es-MX"/>
        </w:rPr>
        <w:t>Marila</w:t>
      </w:r>
      <w:proofErr w:type="spellEnd"/>
      <w:r w:rsidRPr="00C55596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Barrientos/Directora Regional de </w:t>
      </w:r>
      <w:proofErr w:type="spellStart"/>
      <w:r w:rsidRPr="00C55596">
        <w:rPr>
          <w:rFonts w:ascii="Microsoft JhengHei Light" w:eastAsia="Microsoft JhengHei Light" w:hAnsi="Microsoft JhengHei Light"/>
          <w:sz w:val="20"/>
          <w:szCs w:val="20"/>
          <w:lang w:val="es-MX"/>
        </w:rPr>
        <w:t>Sernatur</w:t>
      </w:r>
      <w:proofErr w:type="spellEnd"/>
      <w:r w:rsidRPr="00C55596">
        <w:rPr>
          <w:rFonts w:ascii="Microsoft JhengHei Light" w:eastAsia="Microsoft JhengHei Light" w:hAnsi="Microsoft JhengHei Light"/>
          <w:sz w:val="20"/>
          <w:szCs w:val="20"/>
          <w:lang w:val="es-MX"/>
        </w:rPr>
        <w:t>.</w:t>
      </w:r>
    </w:p>
    <w:p w:rsidR="00D46B12" w:rsidRPr="00D46B12" w:rsidRDefault="00D46B12" w:rsidP="00D46B12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La recalada </w:t>
      </w:r>
      <w:r w:rsidRPr="00D46B12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de Cruceros en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la </w:t>
      </w:r>
      <w:r w:rsidRPr="00D46B12">
        <w:rPr>
          <w:rFonts w:ascii="Microsoft JhengHei Light" w:eastAsia="Microsoft JhengHei Light" w:hAnsi="Microsoft JhengHei Light"/>
          <w:sz w:val="20"/>
          <w:szCs w:val="20"/>
          <w:lang w:val="es-MX"/>
        </w:rPr>
        <w:t>Bahía de Corral se está convirtiendo en una tendencia al alza en los últimos años, lo que representa una gran oportunidad para el desarrollo turístico de la región.</w:t>
      </w:r>
    </w:p>
    <w:p w:rsidR="00D46B12" w:rsidRPr="00D46B12" w:rsidRDefault="00D46B12" w:rsidP="00D46B12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D46B12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Para aprovechar al máximo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dicha tendencia al alza</w:t>
      </w:r>
      <w:r w:rsidRPr="00D46B12">
        <w:rPr>
          <w:rFonts w:ascii="Microsoft JhengHei Light" w:eastAsia="Microsoft JhengHei Light" w:hAnsi="Microsoft JhengHei Light"/>
          <w:sz w:val="20"/>
          <w:szCs w:val="20"/>
          <w:lang w:val="es-MX"/>
        </w:rPr>
        <w:t>, es importante implementar estrategias de promoción para atraer a más navíos. Se pueden llevar a cabo campañas de marketing dirigidas a las compañías de cruceros, destacando los atractivos naturales y culturales de la zona, así como la infraestructura turística disponible para recibir a los visitantes.</w:t>
      </w:r>
    </w:p>
    <w:p w:rsidR="00D46B12" w:rsidRPr="00D46B12" w:rsidRDefault="00D46B12" w:rsidP="00D46B12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D46B12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Además, se pueden establecer alianzas con agencias turísticas internacionales para promocionar </w:t>
      </w:r>
      <w:r w:rsidR="007E42A6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la </w:t>
      </w:r>
      <w:r w:rsidRPr="00D46B12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Bahía de Corral como un destino turístico de primera clase para los </w:t>
      </w:r>
      <w:proofErr w:type="spellStart"/>
      <w:r w:rsidRPr="00D46B12">
        <w:rPr>
          <w:rFonts w:ascii="Microsoft JhengHei Light" w:eastAsia="Microsoft JhengHei Light" w:hAnsi="Microsoft JhengHei Light"/>
          <w:sz w:val="20"/>
          <w:szCs w:val="20"/>
          <w:lang w:val="es-MX"/>
        </w:rPr>
        <w:t>cruceristas</w:t>
      </w:r>
      <w:proofErr w:type="spellEnd"/>
      <w:r w:rsidRPr="00D46B12">
        <w:rPr>
          <w:rFonts w:ascii="Microsoft JhengHei Light" w:eastAsia="Microsoft JhengHei Light" w:hAnsi="Microsoft JhengHei Light"/>
          <w:sz w:val="20"/>
          <w:szCs w:val="20"/>
          <w:lang w:val="es-MX"/>
        </w:rPr>
        <w:t>. Esto permitirá aumentar la visibilidad de la región en el mercado turístico global y atraer a un mayor número de visitantes.</w:t>
      </w:r>
    </w:p>
    <w:p w:rsidR="00D46B12" w:rsidRPr="00D46B12" w:rsidRDefault="00D46B12" w:rsidP="00D46B12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D46B12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Otra estrategia </w:t>
      </w:r>
      <w:r w:rsidR="007E42A6">
        <w:rPr>
          <w:rFonts w:ascii="Microsoft JhengHei Light" w:eastAsia="Microsoft JhengHei Light" w:hAnsi="Microsoft JhengHei Light"/>
          <w:sz w:val="20"/>
          <w:szCs w:val="20"/>
          <w:lang w:val="es-MX"/>
        </w:rPr>
        <w:t>debe consistir en</w:t>
      </w:r>
      <w:r w:rsidRPr="00D46B12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mejorar la infraestructura portuaria y los servicios turísticos ofrecidos a los visitantes. Contar con instalaciones modernas y de calidad, así como con una oferta variada de actividades y excursiones, hará que las compañías de cruceros consideren a la bahía como un puerto atractivo para sus travesías.</w:t>
      </w:r>
    </w:p>
    <w:p w:rsidR="00D46B12" w:rsidRPr="00D46B12" w:rsidRDefault="00D46B12" w:rsidP="00D46B12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</w:p>
    <w:p w:rsidR="00C55596" w:rsidRPr="00C55596" w:rsidRDefault="00C55596" w:rsidP="00C55596">
      <w:pPr>
        <w:jc w:val="center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C55596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PRESENTACIÓN DE PROYECTO RECICLANDO NEUMÁTICOS, EN EL MARCO DE LA ECONOMÍA CIRCULAR Y LA SUSTENTABILIDAD EN LA REGIÓN DE LOS RÍOS.</w:t>
      </w:r>
    </w:p>
    <w:p w:rsidR="00C56CCA" w:rsidRPr="00C56CCA" w:rsidRDefault="00C55596" w:rsidP="00C56CCA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C55596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Expuso</w:t>
      </w:r>
      <w:r w:rsidRPr="00C55596">
        <w:rPr>
          <w:rFonts w:ascii="Microsoft JhengHei Light" w:eastAsia="Microsoft JhengHei Light" w:hAnsi="Microsoft JhengHei Light"/>
          <w:sz w:val="20"/>
          <w:szCs w:val="20"/>
          <w:lang w:val="es-MX"/>
        </w:rPr>
        <w:t>: C</w:t>
      </w:r>
      <w:r w:rsidR="009E6AC4">
        <w:rPr>
          <w:rFonts w:ascii="Microsoft JhengHei Light" w:eastAsia="Microsoft JhengHei Light" w:hAnsi="Microsoft JhengHei Light"/>
          <w:sz w:val="20"/>
          <w:szCs w:val="20"/>
          <w:lang w:val="es-MX"/>
        </w:rPr>
        <w:t>laudio</w:t>
      </w:r>
      <w:r w:rsidRPr="00C55596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Sánchez/Emprendedor.</w:t>
      </w:r>
      <w:r w:rsidRPr="00C55596">
        <w:rPr>
          <w:rFonts w:ascii="Microsoft JhengHei Light" w:eastAsia="Microsoft JhengHei Light" w:hAnsi="Microsoft JhengHei Light"/>
          <w:sz w:val="20"/>
          <w:szCs w:val="20"/>
          <w:lang w:val="es-MX"/>
        </w:rPr>
        <w:cr/>
      </w:r>
      <w:r w:rsidR="005B5063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La presentación tiene </w:t>
      </w:r>
      <w:r w:rsidR="00C56CC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por finalidad </w:t>
      </w:r>
      <w:r w:rsidR="009E6AC4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generar sensibilidad respecto de la necesidad del reciclaje </w:t>
      </w:r>
      <w:r w:rsidR="00BA750E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para </w:t>
      </w:r>
      <w:r w:rsidR="00C56CCA" w:rsidRPr="00C56CCA">
        <w:rPr>
          <w:rFonts w:ascii="Microsoft JhengHei Light" w:eastAsia="Microsoft JhengHei Light" w:hAnsi="Microsoft JhengHei Light"/>
          <w:sz w:val="20"/>
          <w:szCs w:val="20"/>
          <w:lang w:val="es-MX"/>
        </w:rPr>
        <w:t>reutilizar los neumáticos usados para darles un nuevo propósito y evitar que terminen en vertederos o sean quemados, lo que puede generar contaminación ambiental.</w:t>
      </w:r>
      <w:r w:rsidR="005B5063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Para ello es necesario generar las voluntades públicas y privadas para la generación de una planta de reciclaje. Se plantea que es un desafío que la región debería asumir.</w:t>
      </w:r>
    </w:p>
    <w:p w:rsidR="00C56CCA" w:rsidRPr="00C56CCA" w:rsidRDefault="009E6AC4" w:rsidP="00C56CCA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Se señaló que e</w:t>
      </w:r>
      <w:r w:rsidR="00C56CCA" w:rsidRPr="00C56CCA">
        <w:rPr>
          <w:rFonts w:ascii="Microsoft JhengHei Light" w:eastAsia="Microsoft JhengHei Light" w:hAnsi="Microsoft JhengHei Light"/>
          <w:sz w:val="20"/>
          <w:szCs w:val="20"/>
          <w:lang w:val="es-MX"/>
        </w:rPr>
        <w:t>xisten diferentes proc</w:t>
      </w:r>
      <w:r w:rsidR="0067502E">
        <w:rPr>
          <w:rFonts w:ascii="Microsoft JhengHei Light" w:eastAsia="Microsoft JhengHei Light" w:hAnsi="Microsoft JhengHei Light"/>
          <w:sz w:val="20"/>
          <w:szCs w:val="20"/>
          <w:lang w:val="es-MX"/>
        </w:rPr>
        <w:t>esos de reciclaje de neumáticos</w:t>
      </w:r>
      <w:r w:rsidR="00C56CCA" w:rsidRPr="00C56CC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que pueden incluir la </w:t>
      </w:r>
      <w:r w:rsidR="00C56CCA" w:rsidRPr="00BA750E">
        <w:rPr>
          <w:rFonts w:ascii="Microsoft JhengHei Light" w:eastAsia="Microsoft JhengHei Light" w:hAnsi="Microsoft JhengHei Light"/>
          <w:sz w:val="20"/>
          <w:szCs w:val="20"/>
          <w:lang w:val="es-MX"/>
        </w:rPr>
        <w:t>trituración de los neumáticos para obtener materiales como el caucho granulado,</w:t>
      </w:r>
      <w:r w:rsidR="00C56CCA" w:rsidRPr="00C56CC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la utilización de estos materiales en la fabricación de nuevos productos como suelos deportivos o asfalto modificado, o incluso </w:t>
      </w:r>
      <w:r w:rsidR="00C56CCA">
        <w:rPr>
          <w:rFonts w:ascii="Microsoft JhengHei Light" w:eastAsia="Microsoft JhengHei Light" w:hAnsi="Microsoft JhengHei Light"/>
          <w:sz w:val="20"/>
          <w:szCs w:val="20"/>
          <w:lang w:val="es-MX"/>
        </w:rPr>
        <w:t>el</w:t>
      </w:r>
      <w:r w:rsidR="00C56CCA" w:rsidRPr="00C56CC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recauchado de los neumáticos para prolongar su vida útil.</w:t>
      </w:r>
    </w:p>
    <w:p w:rsidR="00C55596" w:rsidRDefault="00C56CCA" w:rsidP="00C56CCA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C56CCA">
        <w:rPr>
          <w:rFonts w:ascii="Microsoft JhengHei Light" w:eastAsia="Microsoft JhengHei Light" w:hAnsi="Microsoft JhengHei Light"/>
          <w:sz w:val="20"/>
          <w:szCs w:val="20"/>
          <w:lang w:val="es-MX"/>
        </w:rPr>
        <w:lastRenderedPageBreak/>
        <w:t>El reciclaje de neumáticos contribuye a la economía circular al darle un nuevo uso a un producto que de otra forma sería considerado residuo, reduciendo así la explotación de recursos naturales y disminuyendo la generación de desechos. Además, al reutilizar los neumáticos se reduce la contaminación del suelo, el agua y el aire, ya que se evita la liberación de sustancias tóxicas al medio ambiente.</w:t>
      </w:r>
    </w:p>
    <w:p w:rsidR="00C55596" w:rsidRDefault="00C55596" w:rsidP="00C55596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</w:p>
    <w:p w:rsidR="00C55596" w:rsidRPr="00C55596" w:rsidRDefault="00C55596" w:rsidP="00C55596">
      <w:pPr>
        <w:jc w:val="center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C55596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ELABORACIÓN PRO</w:t>
      </w:r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GRAMA DE TRABAJO DE LA COMISIÓN</w:t>
      </w:r>
    </w:p>
    <w:p w:rsidR="00C55596" w:rsidRDefault="00C55596" w:rsidP="00C55596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C55596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Facilita</w:t>
      </w:r>
      <w:r w:rsidRPr="00C55596">
        <w:rPr>
          <w:rFonts w:ascii="Microsoft JhengHei Light" w:eastAsia="Microsoft JhengHei Light" w:hAnsi="Microsoft JhengHei Light"/>
          <w:sz w:val="20"/>
          <w:szCs w:val="20"/>
          <w:lang w:val="es-MX"/>
        </w:rPr>
        <w:t>: Patricio Fuentes/Pdte. Comisión.</w:t>
      </w:r>
      <w:r w:rsidRPr="00C55596">
        <w:rPr>
          <w:rFonts w:ascii="Microsoft JhengHei Light" w:eastAsia="Microsoft JhengHei Light" w:hAnsi="Microsoft JhengHei Light"/>
          <w:sz w:val="20"/>
          <w:szCs w:val="20"/>
          <w:lang w:val="es-MX"/>
        </w:rPr>
        <w:cr/>
      </w:r>
    </w:p>
    <w:p w:rsidR="00D8205A" w:rsidRDefault="00D8205A" w:rsidP="00C55596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Inicialmente, se definieron 3 prioridades:</w:t>
      </w:r>
    </w:p>
    <w:p w:rsidR="00D8205A" w:rsidRDefault="00D8205A" w:rsidP="00D8205A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Definir una estrategia para el tren.</w:t>
      </w:r>
    </w:p>
    <w:p w:rsidR="00D8205A" w:rsidRDefault="00D8205A" w:rsidP="00D8205A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Abordar el desempleo, poniendo el foco en la mediana empresa.</w:t>
      </w:r>
    </w:p>
    <w:p w:rsidR="00D8205A" w:rsidRDefault="00D8205A" w:rsidP="00D8205A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Potenciar el turismo</w:t>
      </w:r>
    </w:p>
    <w:p w:rsidR="00C55596" w:rsidRPr="00D8205A" w:rsidRDefault="00D8205A" w:rsidP="00D8205A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A </w:t>
      </w:r>
      <w:proofErr w:type="gram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esta prioridades</w:t>
      </w:r>
      <w:proofErr w:type="gram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 w:rsidRPr="00D8205A">
        <w:rPr>
          <w:rFonts w:ascii="Microsoft JhengHei Light" w:eastAsia="Microsoft JhengHei Light" w:hAnsi="Microsoft JhengHei Light"/>
          <w:sz w:val="20"/>
          <w:szCs w:val="20"/>
          <w:lang w:val="es-MX"/>
        </w:rPr>
        <w:t>se sumarían otras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las que se resolverían en una jornada de trabajo.</w:t>
      </w:r>
      <w:bookmarkStart w:id="0" w:name="_GoBack"/>
      <w:bookmarkEnd w:id="0"/>
    </w:p>
    <w:p w:rsidR="00C55596" w:rsidRPr="00C55596" w:rsidRDefault="00D8205A" w:rsidP="00C55596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</w:p>
    <w:sectPr w:rsidR="00C55596" w:rsidRPr="00C55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E1E46"/>
    <w:multiLevelType w:val="hybridMultilevel"/>
    <w:tmpl w:val="AD62061C"/>
    <w:lvl w:ilvl="0" w:tplc="F208CCC8">
      <w:numFmt w:val="bullet"/>
      <w:lvlText w:val="-"/>
      <w:lvlJc w:val="left"/>
      <w:pPr>
        <w:ind w:left="720" w:hanging="360"/>
      </w:pPr>
      <w:rPr>
        <w:rFonts w:ascii="Microsoft JhengHei Light" w:eastAsia="Microsoft JhengHei Light" w:hAnsi="Microsoft JhengHei Light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60E"/>
    <w:multiLevelType w:val="hybridMultilevel"/>
    <w:tmpl w:val="79EC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96"/>
    <w:rsid w:val="001B7755"/>
    <w:rsid w:val="003A4C56"/>
    <w:rsid w:val="003B484F"/>
    <w:rsid w:val="00481A88"/>
    <w:rsid w:val="005B5063"/>
    <w:rsid w:val="0065629A"/>
    <w:rsid w:val="0067502E"/>
    <w:rsid w:val="007E42A6"/>
    <w:rsid w:val="00846AFA"/>
    <w:rsid w:val="00877456"/>
    <w:rsid w:val="009E6AC4"/>
    <w:rsid w:val="00BA750E"/>
    <w:rsid w:val="00C37ED0"/>
    <w:rsid w:val="00C55596"/>
    <w:rsid w:val="00C56CCA"/>
    <w:rsid w:val="00D46B12"/>
    <w:rsid w:val="00D8205A"/>
    <w:rsid w:val="00F214D7"/>
    <w:rsid w:val="00F65F55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C1B2"/>
  <w15:chartTrackingRefBased/>
  <w15:docId w15:val="{E6C64A63-B49E-475C-9F61-36809518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A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C0F4-6227-43C4-9994-D740C967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Computacionales Ranco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15</cp:revision>
  <dcterms:created xsi:type="dcterms:W3CDTF">2024-04-06T20:21:00Z</dcterms:created>
  <dcterms:modified xsi:type="dcterms:W3CDTF">2024-04-09T21:41:00Z</dcterms:modified>
</cp:coreProperties>
</file>