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76" w:lineRule="auto"/>
        <w:ind w:left="0" w:firstLine="0"/>
        <w:jc w:val="both"/>
        <w:rPr>
          <w:rFonts w:cstheme="minorHAnsi"/>
          <w:sz w:val="20"/>
        </w:rPr>
      </w:pPr>
      <w:r>
        <w:rPr>
          <w:rFonts w:cstheme="minorHAnsi"/>
          <w:sz w:val="20"/>
        </w:rPr>
        <w:t>MARTES 9 DE ABRIL</w:t>
      </w:r>
    </w:p>
    <w:p>
      <w:pPr>
        <w:pStyle w:val="9"/>
        <w:spacing w:line="276" w:lineRule="auto"/>
        <w:ind w:left="0" w:firstLine="0"/>
        <w:jc w:val="both"/>
        <w:rPr>
          <w:rFonts w:cstheme="minorHAnsi"/>
          <w:sz w:val="20"/>
          <w:u w:val="single"/>
        </w:rPr>
      </w:pPr>
      <w:r>
        <w:rPr>
          <w:rFonts w:cstheme="minorHAnsi"/>
          <w:sz w:val="20"/>
          <w:u w:val="single"/>
        </w:rPr>
        <w:t>COMISIÓN MIXTA DE HACIENDA Y FOMENTO PRODUCTIVO</w:t>
      </w:r>
    </w:p>
    <w:p>
      <w:pPr>
        <w:pStyle w:val="9"/>
        <w:ind w:left="1410" w:hanging="1410"/>
        <w:jc w:val="both"/>
        <w:rPr>
          <w:rFonts w:cstheme="minorHAnsi"/>
          <w:sz w:val="20"/>
        </w:rPr>
      </w:pPr>
      <w:r>
        <w:rPr>
          <w:rFonts w:cstheme="minorHAnsi"/>
          <w:sz w:val="20"/>
        </w:rPr>
        <w:t>Lugar: Sala de Reuniones 2° Piso, Sede del CORE, Valdivia</w:t>
      </w:r>
    </w:p>
    <w:p>
      <w:pPr>
        <w:pStyle w:val="9"/>
        <w:spacing w:line="276" w:lineRule="auto"/>
        <w:ind w:left="1410" w:hanging="1410"/>
        <w:jc w:val="both"/>
        <w:rPr>
          <w:rFonts w:cstheme="minorHAnsi"/>
          <w:b w:val="0"/>
          <w:sz w:val="20"/>
        </w:rPr>
      </w:pPr>
      <w:r>
        <w:rPr>
          <w:rFonts w:cstheme="minorHAnsi"/>
          <w:b w:val="0"/>
          <w:sz w:val="20"/>
        </w:rPr>
        <w:t>09.30 hrs.</w:t>
      </w:r>
      <w:r>
        <w:rPr>
          <w:rFonts w:cstheme="minorHAnsi"/>
          <w:b w:val="0"/>
          <w:sz w:val="20"/>
        </w:rPr>
        <w:tab/>
      </w:r>
      <w:r>
        <w:rPr>
          <w:rFonts w:cstheme="minorHAnsi"/>
          <w:b w:val="0"/>
          <w:sz w:val="20"/>
        </w:rPr>
        <w:t>Presentación, análisis y resolución Programa “Apoyo al Desarrollo de Barrios Comerciales”.</w:t>
      </w:r>
    </w:p>
    <w:p>
      <w:pPr>
        <w:pStyle w:val="9"/>
        <w:spacing w:line="276" w:lineRule="auto"/>
        <w:ind w:left="1410" w:hanging="1410"/>
        <w:jc w:val="both"/>
        <w:rPr>
          <w:rFonts w:cstheme="minorHAnsi"/>
          <w:b w:val="0"/>
          <w:sz w:val="20"/>
        </w:rPr>
      </w:pPr>
      <w:r>
        <w:rPr>
          <w:rFonts w:cstheme="minorHAnsi"/>
          <w:b w:val="0"/>
          <w:sz w:val="20"/>
        </w:rPr>
        <w:tab/>
      </w:r>
      <w:r>
        <w:rPr>
          <w:rFonts w:cstheme="minorHAnsi"/>
          <w:b w:val="0"/>
          <w:sz w:val="20"/>
        </w:rPr>
        <w:t>Expone: Cristian Durán/ Director Regional de Sercotec.</w:t>
      </w:r>
    </w:p>
    <w:p>
      <w:pPr>
        <w:pStyle w:val="9"/>
        <w:spacing w:line="276" w:lineRule="auto"/>
        <w:ind w:left="0" w:firstLine="0"/>
        <w:jc w:val="both"/>
        <w:rPr>
          <w:rFonts w:cstheme="minorHAnsi"/>
          <w:sz w:val="20"/>
          <w:u w:val="single"/>
        </w:rPr>
      </w:pPr>
    </w:p>
    <w:p>
      <w:pPr>
        <w:keepNext w:val="0"/>
        <w:keepLines w:val="0"/>
        <w:widowControl/>
        <w:suppressLineNumbers w:val="0"/>
        <w:spacing w:before="0" w:beforeAutospacing="0" w:after="0" w:afterAutospacing="0" w:line="256" w:lineRule="auto"/>
        <w:ind w:left="0" w:right="0"/>
        <w:jc w:val="both"/>
        <w:rPr>
          <w:rFonts w:hint="eastAsia" w:ascii="Calibri" w:hAnsi="Calibri" w:eastAsia="Calibri" w:cs="Times New Roman"/>
          <w:kern w:val="0"/>
          <w:sz w:val="22"/>
          <w:szCs w:val="22"/>
          <w:lang w:eastAsia="zh-CN" w:bidi="ar"/>
        </w:rPr>
      </w:pPr>
      <w:r>
        <w:rPr>
          <w:rFonts w:hint="eastAsia" w:ascii="Calibri" w:hAnsi="Calibri" w:eastAsia="Calibri" w:cs="Times New Roman"/>
          <w:kern w:val="0"/>
          <w:sz w:val="22"/>
          <w:szCs w:val="22"/>
          <w:lang w:eastAsia="zh-CN" w:bidi="ar"/>
        </w:rPr>
        <w:t>El programa Fortalecimiento de Barrios Comerciales de SERCOTEC promueve la adopción de estrategias asociativas a nivel de barrio comercial, buscando que, a través de la cooperación, las micro y pequeñas empresas comerciales que lo conforman puedan aumentar su competitividad y mejorar el entorno urbano en que se desenvuelven.</w:t>
      </w:r>
    </w:p>
    <w:p>
      <w:pPr>
        <w:keepNext w:val="0"/>
        <w:keepLines w:val="0"/>
        <w:widowControl/>
        <w:suppressLineNumbers w:val="0"/>
        <w:spacing w:before="0" w:beforeAutospacing="0" w:after="0" w:afterAutospacing="0" w:line="256" w:lineRule="auto"/>
        <w:ind w:left="0" w:right="0"/>
        <w:jc w:val="both"/>
        <w:rPr>
          <w:rFonts w:hint="eastAsia" w:ascii="Calibri" w:hAnsi="Calibri" w:eastAsia="Calibri" w:cs="Times New Roman"/>
          <w:kern w:val="0"/>
          <w:sz w:val="22"/>
          <w:szCs w:val="22"/>
          <w:lang w:eastAsia="zh-CN" w:bidi="ar"/>
        </w:rPr>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La población objetivo son Micro y pequeñas empresas, de la Región de Los Ríos, formalizadas ante el SII en 1era categoría, pertenecientes al rubro G - Comercio al por mayor y al por menor; reparación de vehículos automotores y motocicletas, H - Transporte y almacenamiento, I - Actividades de alojamiento y de servicio de comidas, M - Actividades profesionales, científicas y técnicas, y Q - Actividades de atención de la salud humana y de asistencia social, insertas en el polígono de un Barrio Comercial seleccionado de la convocatoria.</w:t>
      </w:r>
    </w:p>
    <w:p>
      <w:pPr>
        <w:keepNext w:val="0"/>
        <w:keepLines w:val="0"/>
        <w:widowControl/>
        <w:suppressLineNumbers w:val="0"/>
        <w:spacing w:before="0" w:beforeAutospacing="0" w:after="0" w:afterAutospacing="0" w:line="256" w:lineRule="auto"/>
        <w:ind w:left="0" w:right="0"/>
        <w:jc w:val="both"/>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Componentes del Programa:</w:t>
      </w:r>
    </w:p>
    <w:p>
      <w:pPr>
        <w:keepNext w:val="0"/>
        <w:keepLines w:val="0"/>
        <w:widowControl/>
        <w:suppressLineNumbers w:val="0"/>
        <w:spacing w:before="0" w:beforeAutospacing="0" w:after="0" w:afterAutospacing="0" w:line="256" w:lineRule="auto"/>
        <w:ind w:left="0" w:right="0"/>
        <w:jc w:val="both"/>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 xml:space="preserve">COMPONENTE 1: Asistencia técnica Gestor de Barrio: Asistencia técnica prestada por el Agente Operador SERCOTEC a través de un gestor/a del barrio comercial beneficiario. </w:t>
      </w:r>
    </w:p>
    <w:p>
      <w:pPr>
        <w:keepNext w:val="0"/>
        <w:keepLines w:val="0"/>
        <w:widowControl/>
        <w:suppressLineNumbers w:val="0"/>
        <w:spacing w:before="0" w:beforeAutospacing="0" w:after="0" w:afterAutospacing="0" w:line="256" w:lineRule="auto"/>
        <w:ind w:left="0" w:right="0"/>
        <w:jc w:val="both"/>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El Gestor de Barrio es responsable, entre otras cosas, de acompañar al barrio en el proceso de diagnóstico, así como en el de elaboración del Plan de Desarrollo Comercial y Urbano, y su posterior ejecución.</w:t>
      </w:r>
    </w:p>
    <w:p>
      <w:pPr>
        <w:keepNext w:val="0"/>
        <w:keepLines w:val="0"/>
        <w:widowControl/>
        <w:suppressLineNumbers w:val="0"/>
        <w:spacing w:before="0" w:beforeAutospacing="0" w:after="0" w:afterAutospacing="0" w:line="256" w:lineRule="auto"/>
        <w:ind w:left="0" w:right="0"/>
        <w:jc w:val="both"/>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COMPONENTE 2: Fortalecimiento de Barrios Comerciales: Financiamiento no reembolsable para el desarrollo de actividades conducentes al fortalecimiento del barrio a través del financiamiento del Plan de Desarrollo Comercial y Urbano.</w:t>
      </w:r>
    </w:p>
    <w:p>
      <w:pPr>
        <w:keepNext w:val="0"/>
        <w:keepLines w:val="0"/>
        <w:widowControl/>
        <w:suppressLineNumbers w:val="0"/>
        <w:spacing w:before="0" w:beforeAutospacing="0" w:after="0" w:afterAutospacing="0" w:line="256" w:lineRule="auto"/>
        <w:ind w:left="0" w:right="0"/>
        <w:jc w:val="both"/>
        <w:rPr>
          <w:rFonts w:hint="eastAsia" w:ascii="Calibri" w:hAnsi="Calibri" w:eastAsia="Calibri" w:cs="Times New Roman"/>
          <w:kern w:val="0"/>
          <w:sz w:val="22"/>
          <w:szCs w:val="22"/>
          <w:lang w:eastAsia="zh-CN" w:bidi="ar"/>
        </w:rPr>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 xml:space="preserve">¿BENEFICIOS DEL PROGRAMA? </w:t>
      </w:r>
      <w:r>
        <w:rPr>
          <w:rFonts w:hint="default" w:ascii="Segoe UI Symbol" w:hAnsi="Segoe UI Symbol" w:eastAsia="Segoe UI Symbol" w:cs="Segoe UI Symbol"/>
          <w:kern w:val="0"/>
          <w:sz w:val="22"/>
          <w:szCs w:val="22"/>
          <w:lang w:eastAsia="zh-CN" w:bidi="ar"/>
        </w:rPr>
        <w:t>➔</w:t>
      </w:r>
      <w:r>
        <w:rPr>
          <w:rFonts w:hint="eastAsia" w:ascii="Calibri" w:hAnsi="Calibri" w:eastAsia="Calibri" w:cs="Times New Roman"/>
          <w:kern w:val="0"/>
          <w:sz w:val="22"/>
          <w:szCs w:val="22"/>
          <w:lang w:eastAsia="zh-CN" w:bidi="ar"/>
        </w:rPr>
        <w:t xml:space="preserve"> Asistencia técnica prestada por el A</w:t>
      </w:r>
      <w:r>
        <w:rPr>
          <w:rFonts w:hint="default" w:ascii="Calibri" w:hAnsi="Calibri" w:eastAsia="Calibri" w:cs="Times New Roman"/>
          <w:kern w:val="0"/>
          <w:sz w:val="22"/>
          <w:szCs w:val="22"/>
          <w:lang w:val="es-MX" w:eastAsia="zh-CN" w:bidi="ar"/>
        </w:rPr>
        <w:t xml:space="preserve">gente </w:t>
      </w:r>
      <w:r>
        <w:rPr>
          <w:rFonts w:hint="eastAsia" w:ascii="Calibri" w:hAnsi="Calibri" w:eastAsia="Calibri" w:cs="Times New Roman"/>
          <w:kern w:val="0"/>
          <w:sz w:val="22"/>
          <w:szCs w:val="22"/>
          <w:lang w:eastAsia="zh-CN" w:bidi="ar"/>
        </w:rPr>
        <w:t>O</w:t>
      </w:r>
      <w:r>
        <w:rPr>
          <w:rFonts w:hint="default" w:ascii="Calibri" w:hAnsi="Calibri" w:eastAsia="Calibri" w:cs="Times New Roman"/>
          <w:kern w:val="0"/>
          <w:sz w:val="22"/>
          <w:szCs w:val="22"/>
          <w:lang w:val="es-MX" w:eastAsia="zh-CN" w:bidi="ar"/>
        </w:rPr>
        <w:t xml:space="preserve">perador </w:t>
      </w:r>
      <w:r>
        <w:rPr>
          <w:rFonts w:hint="eastAsia" w:ascii="Calibri" w:hAnsi="Calibri" w:eastAsia="Calibri" w:cs="Times New Roman"/>
          <w:kern w:val="0"/>
          <w:sz w:val="22"/>
          <w:szCs w:val="22"/>
          <w:lang w:eastAsia="zh-CN" w:bidi="ar"/>
        </w:rPr>
        <w:t xml:space="preserve">a través de un gestor del barrio comercial. </w:t>
      </w: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 xml:space="preserve">Financiamiento no reembolsable para el desarrollo de actividades conducentes al fortalecimiento del barrio. </w:t>
      </w: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 xml:space="preserve">Primera Etapa: Hasta </w:t>
      </w:r>
      <w:r>
        <w:rPr>
          <w:rFonts w:hint="eastAsia" w:ascii="Calibri" w:hAnsi="Calibri" w:eastAsia="Calibri" w:cs="Times New Roman"/>
          <w:kern w:val="0"/>
          <w:sz w:val="22"/>
          <w:szCs w:val="22"/>
          <w:lang w:eastAsia="zh-CN" w:bidi="ar"/>
        </w:rPr>
        <w:tab/>
      </w:r>
      <w:r>
        <w:rPr>
          <w:rFonts w:hint="eastAsia" w:ascii="Calibri" w:hAnsi="Calibri" w:eastAsia="Calibri" w:cs="Times New Roman"/>
          <w:kern w:val="0"/>
          <w:sz w:val="22"/>
          <w:szCs w:val="22"/>
          <w:lang w:eastAsia="zh-CN" w:bidi="ar"/>
        </w:rPr>
        <w:t xml:space="preserve">$3MM (año 1) </w:t>
      </w:r>
    </w:p>
    <w:p>
      <w:pPr>
        <w:keepNext w:val="0"/>
        <w:keepLines w:val="0"/>
        <w:widowControl/>
        <w:suppressLineNumbers w:val="0"/>
        <w:spacing w:before="0" w:beforeAutospacing="0" w:after="0" w:afterAutospacing="0" w:line="256" w:lineRule="auto"/>
        <w:ind w:left="1400" w:right="0" w:firstLine="700"/>
        <w:jc w:val="both"/>
      </w:pPr>
      <w:r>
        <w:rPr>
          <w:rFonts w:hint="eastAsia" w:ascii="Calibri" w:hAnsi="Calibri" w:eastAsia="Calibri" w:cs="Times New Roman"/>
          <w:kern w:val="0"/>
          <w:sz w:val="22"/>
          <w:szCs w:val="22"/>
          <w:lang w:eastAsia="zh-CN" w:bidi="ar"/>
        </w:rPr>
        <w:t xml:space="preserve">Hasta $27MM (año 2) </w:t>
      </w:r>
    </w:p>
    <w:p>
      <w:pPr>
        <w:keepNext w:val="0"/>
        <w:keepLines w:val="0"/>
        <w:widowControl/>
        <w:suppressLineNumbers w:val="0"/>
        <w:spacing w:before="0" w:beforeAutospacing="0" w:after="0" w:afterAutospacing="0" w:line="256" w:lineRule="auto"/>
        <w:ind w:left="0" w:right="0"/>
        <w:jc w:val="both"/>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 xml:space="preserve">Segunda Etapa: Hasta </w:t>
      </w:r>
      <w:r>
        <w:rPr>
          <w:rFonts w:hint="eastAsia" w:ascii="Calibri" w:hAnsi="Calibri" w:eastAsia="Calibri" w:cs="Times New Roman"/>
          <w:kern w:val="0"/>
          <w:sz w:val="22"/>
          <w:szCs w:val="22"/>
          <w:lang w:eastAsia="zh-CN" w:bidi="ar"/>
        </w:rPr>
        <w:tab/>
      </w:r>
      <w:r>
        <w:rPr>
          <w:rFonts w:hint="eastAsia" w:ascii="Calibri" w:hAnsi="Calibri" w:eastAsia="Calibri" w:cs="Times New Roman"/>
          <w:kern w:val="0"/>
          <w:sz w:val="22"/>
          <w:szCs w:val="22"/>
          <w:lang w:eastAsia="zh-CN" w:bidi="ar"/>
        </w:rPr>
        <w:t xml:space="preserve">$36MM (año 3) </w:t>
      </w:r>
    </w:p>
    <w:p>
      <w:pPr>
        <w:keepNext w:val="0"/>
        <w:keepLines w:val="0"/>
        <w:widowControl/>
        <w:suppressLineNumbers w:val="0"/>
        <w:spacing w:before="0" w:beforeAutospacing="0" w:after="0" w:afterAutospacing="0" w:line="256" w:lineRule="auto"/>
        <w:ind w:left="1400" w:right="0" w:firstLine="700"/>
        <w:jc w:val="both"/>
      </w:pPr>
      <w:r>
        <w:rPr>
          <w:rFonts w:hint="eastAsia" w:ascii="Calibri" w:hAnsi="Calibri" w:eastAsia="Calibri" w:cs="Times New Roman"/>
          <w:kern w:val="0"/>
          <w:sz w:val="22"/>
          <w:szCs w:val="22"/>
          <w:lang w:eastAsia="zh-CN" w:bidi="ar"/>
        </w:rPr>
        <w:t xml:space="preserve">Hasta $45MM (año 4) </w:t>
      </w:r>
    </w:p>
    <w:p>
      <w:pPr>
        <w:keepNext w:val="0"/>
        <w:keepLines w:val="0"/>
        <w:widowControl/>
        <w:suppressLineNumbers w:val="0"/>
        <w:spacing w:before="0" w:beforeAutospacing="0" w:after="0" w:afterAutospacing="0" w:line="256" w:lineRule="auto"/>
        <w:ind w:left="1400" w:right="0" w:firstLine="700"/>
        <w:jc w:val="both"/>
      </w:pPr>
      <w:r>
        <w:rPr>
          <w:rFonts w:hint="eastAsia" w:ascii="Calibri" w:hAnsi="Calibri" w:eastAsia="Calibri" w:cs="Times New Roman"/>
          <w:kern w:val="0"/>
          <w:sz w:val="22"/>
          <w:szCs w:val="22"/>
          <w:lang w:eastAsia="zh-CN" w:bidi="ar"/>
        </w:rPr>
        <w:t>Hasta $20MM (año 5</w:t>
      </w:r>
    </w:p>
    <w:p>
      <w:pPr>
        <w:keepNext w:val="0"/>
        <w:keepLines w:val="0"/>
        <w:widowControl/>
        <w:suppressLineNumbers w:val="0"/>
        <w:spacing w:before="0" w:beforeAutospacing="0" w:after="0" w:afterAutospacing="0" w:line="256" w:lineRule="auto"/>
        <w:ind w:left="0" w:right="0"/>
        <w:jc w:val="both"/>
      </w:pP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 xml:space="preserve">Metodología del Programa: Se trabaja en dos etapas : </w:t>
      </w:r>
    </w:p>
    <w:p>
      <w:pPr>
        <w:keepNext w:val="0"/>
        <w:keepLines w:val="0"/>
        <w:widowControl/>
        <w:suppressLineNumbers w:val="0"/>
        <w:spacing w:before="0" w:beforeAutospacing="0" w:after="0" w:afterAutospacing="0" w:line="256" w:lineRule="auto"/>
        <w:ind w:left="0" w:right="0"/>
        <w:jc w:val="both"/>
      </w:pPr>
      <w:r>
        <w:rPr>
          <w:rFonts w:hint="eastAsia" w:ascii="Calibri" w:hAnsi="Calibri" w:eastAsia="Calibri" w:cs="Times New Roman"/>
          <w:kern w:val="0"/>
          <w:sz w:val="22"/>
          <w:szCs w:val="22"/>
          <w:lang w:eastAsia="zh-CN" w:bidi="ar"/>
        </w:rPr>
        <w:t>1era Etapa de Activaci</w:t>
      </w:r>
      <w:r>
        <w:rPr>
          <w:rFonts w:hint="eastAsia" w:ascii="Calibri" w:hAnsi="Calibri" w:eastAsia="Calibri" w:cs="Calibri"/>
          <w:kern w:val="0"/>
          <w:sz w:val="22"/>
          <w:szCs w:val="22"/>
          <w:lang w:eastAsia="zh-CN" w:bidi="ar"/>
        </w:rPr>
        <w:t>ó</w:t>
      </w:r>
      <w:r>
        <w:rPr>
          <w:rFonts w:hint="eastAsia" w:ascii="Calibri" w:hAnsi="Calibri" w:eastAsia="Calibri" w:cs="Times New Roman"/>
          <w:kern w:val="0"/>
          <w:sz w:val="22"/>
          <w:szCs w:val="22"/>
          <w:lang w:eastAsia="zh-CN" w:bidi="ar"/>
        </w:rPr>
        <w:t xml:space="preserve">n Comercial (6 a 18 meses) </w:t>
      </w:r>
    </w:p>
    <w:p>
      <w:pPr>
        <w:keepNext w:val="0"/>
        <w:keepLines w:val="0"/>
        <w:widowControl/>
        <w:suppressLineNumbers w:val="0"/>
        <w:spacing w:before="0" w:beforeAutospacing="0" w:after="0" w:afterAutospacing="0" w:line="256" w:lineRule="auto"/>
        <w:ind w:left="0" w:right="0"/>
        <w:jc w:val="both"/>
        <w:rPr>
          <w:rFonts w:hint="eastAsia" w:ascii="Calibri" w:hAnsi="Calibri" w:eastAsia="Calibri" w:cs="Times New Roman"/>
          <w:kern w:val="0"/>
          <w:sz w:val="22"/>
          <w:szCs w:val="22"/>
          <w:lang w:eastAsia="zh-CN" w:bidi="ar"/>
        </w:rPr>
      </w:pPr>
      <w:r>
        <w:rPr>
          <w:rFonts w:hint="eastAsia" w:ascii="Calibri" w:hAnsi="Calibri" w:eastAsia="Calibri" w:cs="Times New Roman"/>
          <w:kern w:val="0"/>
          <w:sz w:val="22"/>
          <w:szCs w:val="22"/>
          <w:lang w:eastAsia="zh-CN" w:bidi="ar"/>
        </w:rPr>
        <w:t>2da Etapa de Revitalizaci</w:t>
      </w:r>
      <w:r>
        <w:rPr>
          <w:rFonts w:hint="eastAsia" w:ascii="Calibri" w:hAnsi="Calibri" w:eastAsia="Calibri" w:cs="Calibri"/>
          <w:kern w:val="0"/>
          <w:sz w:val="22"/>
          <w:szCs w:val="22"/>
          <w:lang w:eastAsia="zh-CN" w:bidi="ar"/>
        </w:rPr>
        <w:t>ó</w:t>
      </w:r>
      <w:r>
        <w:rPr>
          <w:rFonts w:hint="eastAsia" w:ascii="Calibri" w:hAnsi="Calibri" w:eastAsia="Calibri" w:cs="Times New Roman"/>
          <w:kern w:val="0"/>
          <w:sz w:val="22"/>
          <w:szCs w:val="22"/>
          <w:lang w:eastAsia="zh-CN" w:bidi="ar"/>
        </w:rPr>
        <w:t>n Comercial (12 a 48 meses</w:t>
      </w:r>
    </w:p>
    <w:p>
      <w:pPr>
        <w:keepNext w:val="0"/>
        <w:keepLines w:val="0"/>
        <w:widowControl/>
        <w:suppressLineNumbers w:val="0"/>
        <w:spacing w:before="0" w:beforeAutospacing="0" w:after="0" w:afterAutospacing="0" w:line="256" w:lineRule="auto"/>
        <w:ind w:left="0" w:right="0"/>
        <w:jc w:val="both"/>
        <w:rPr>
          <w:rFonts w:hint="eastAsia" w:ascii="Calibri" w:hAnsi="Calibri" w:eastAsia="Calibri" w:cs="Times New Roman"/>
          <w:kern w:val="0"/>
          <w:sz w:val="22"/>
          <w:szCs w:val="22"/>
          <w:lang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r>
        <w:rPr>
          <w:rFonts w:hint="default" w:ascii="Calibri" w:hAnsi="Calibri" w:eastAsia="Calibri" w:cs="Times New Roman"/>
          <w:kern w:val="0"/>
          <w:sz w:val="22"/>
          <w:szCs w:val="22"/>
          <w:lang w:val="es-MX" w:eastAsia="zh-CN" w:bidi="ar"/>
        </w:rPr>
        <w:t>Presupuesto general del programa desglosado por componente:</w:t>
      </w:r>
    </w:p>
    <w:p>
      <w:pPr>
        <w:keepNext w:val="0"/>
        <w:keepLines w:val="0"/>
        <w:widowControl/>
        <w:suppressLineNumbers w:val="0"/>
        <w:spacing w:before="0" w:beforeAutospacing="0" w:after="0" w:afterAutospacing="0" w:line="256" w:lineRule="auto"/>
        <w:ind w:left="0" w:right="0"/>
        <w:jc w:val="both"/>
        <w:rPr>
          <w:rFonts w:hint="default" w:ascii="Calibri" w:hAnsi="Calibri" w:eastAsia="Calibri" w:cs="Times New Roman"/>
          <w:kern w:val="0"/>
          <w:sz w:val="22"/>
          <w:szCs w:val="22"/>
          <w:lang w:val="es-MX" w:eastAsia="zh-CN" w:bidi="ar"/>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8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85" w:type="dxa"/>
          </w:tcPr>
          <w:p>
            <w:pPr>
              <w:pStyle w:val="8"/>
              <w:keepNext w:val="0"/>
              <w:keepLines w:val="0"/>
              <w:widowControl/>
              <w:suppressLineNumbers w:val="0"/>
              <w:jc w:val="center"/>
              <w:rPr>
                <w:rFonts w:hint="default" w:ascii="Verdana" w:hAnsi="Verdana" w:cs="Verdana"/>
                <w:sz w:val="20"/>
                <w:szCs w:val="20"/>
                <w:vertAlign w:val="baseline"/>
                <w:lang w:val="es-MX"/>
              </w:rPr>
            </w:pPr>
            <w:r>
              <w:rPr>
                <w:rFonts w:hint="default" w:ascii="Verdana" w:hAnsi="Verdana" w:cs="Verdana"/>
                <w:sz w:val="20"/>
                <w:szCs w:val="20"/>
                <w:vertAlign w:val="baseline"/>
                <w:lang w:val="es-MX"/>
              </w:rPr>
              <w:t>ITEMS</w:t>
            </w:r>
          </w:p>
        </w:tc>
        <w:tc>
          <w:tcPr>
            <w:tcW w:w="2057" w:type="dxa"/>
          </w:tcPr>
          <w:p>
            <w:pPr>
              <w:pStyle w:val="8"/>
              <w:keepNext w:val="0"/>
              <w:keepLines w:val="0"/>
              <w:widowControl/>
              <w:suppressLineNumbers w:val="0"/>
              <w:jc w:val="center"/>
              <w:rPr>
                <w:rFonts w:hint="default" w:ascii="Verdana" w:hAnsi="Verdana" w:cs="Verdana"/>
                <w:sz w:val="20"/>
                <w:szCs w:val="20"/>
                <w:vertAlign w:val="baseline"/>
                <w:lang w:val="es-MX"/>
              </w:rPr>
            </w:pPr>
            <w:r>
              <w:rPr>
                <w:rFonts w:hint="default" w:ascii="Verdana" w:hAnsi="Verdana" w:cs="Verdana"/>
                <w:sz w:val="20"/>
                <w:szCs w:val="20"/>
                <w:vertAlign w:val="baseline"/>
                <w:lang w:val="es-MX"/>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85" w:type="dxa"/>
          </w:tcPr>
          <w:p>
            <w:pPr>
              <w:pStyle w:val="8"/>
              <w:keepNext w:val="0"/>
              <w:keepLines w:val="0"/>
              <w:widowControl/>
              <w:suppressLineNumbers w:val="0"/>
              <w:rPr>
                <w:rFonts w:hint="default" w:ascii="Verdana" w:hAnsi="Verdana" w:cs="Verdana"/>
                <w:sz w:val="20"/>
                <w:szCs w:val="20"/>
                <w:vertAlign w:val="baseline"/>
                <w:lang w:val="es-MX"/>
              </w:rPr>
            </w:pPr>
            <w:r>
              <w:rPr>
                <w:rFonts w:hint="default" w:ascii="Verdana" w:hAnsi="Verdana" w:cs="Verdana"/>
                <w:sz w:val="20"/>
                <w:szCs w:val="20"/>
                <w:vertAlign w:val="baseline"/>
                <w:lang w:val="es-MX"/>
              </w:rPr>
              <w:t>COMPONENTE 1</w:t>
            </w:r>
          </w:p>
        </w:tc>
        <w:tc>
          <w:tcPr>
            <w:tcW w:w="2057" w:type="dxa"/>
          </w:tcPr>
          <w:p>
            <w:pPr>
              <w:pStyle w:val="8"/>
              <w:keepNext w:val="0"/>
              <w:keepLines w:val="0"/>
              <w:widowControl/>
              <w:suppressLineNumbers w:val="0"/>
              <w:jc w:val="right"/>
              <w:rPr>
                <w:rFonts w:hint="default" w:ascii="Verdana" w:hAnsi="Verdana" w:cs="Verdana"/>
                <w:sz w:val="20"/>
                <w:szCs w:val="20"/>
                <w:vertAlign w:val="baseline"/>
                <w:lang w:val="es-MX"/>
              </w:rPr>
            </w:pPr>
            <w:r>
              <w:rPr>
                <w:rFonts w:hint="default" w:ascii="Verdana" w:hAnsi="Verdana" w:cs="Verdana"/>
                <w:sz w:val="20"/>
                <w:szCs w:val="20"/>
                <w:vertAlign w:val="baseline"/>
                <w:lang w:val="es-MX"/>
              </w:rPr>
              <w:t>301.843.500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85" w:type="dxa"/>
          </w:tcPr>
          <w:p>
            <w:pPr>
              <w:pStyle w:val="8"/>
              <w:keepNext w:val="0"/>
              <w:keepLines w:val="0"/>
              <w:widowControl/>
              <w:suppressLineNumbers w:val="0"/>
              <w:rPr>
                <w:rFonts w:hint="default" w:ascii="Verdana" w:hAnsi="Verdana" w:cs="Verdana"/>
                <w:sz w:val="20"/>
                <w:szCs w:val="20"/>
                <w:vertAlign w:val="baseline"/>
                <w:lang w:val="es-MX"/>
              </w:rPr>
            </w:pPr>
            <w:r>
              <w:rPr>
                <w:rFonts w:hint="default" w:ascii="Verdana" w:hAnsi="Verdana" w:cs="Verdana"/>
                <w:sz w:val="20"/>
                <w:szCs w:val="20"/>
                <w:vertAlign w:val="baseline"/>
                <w:lang w:val="es-MX"/>
              </w:rPr>
              <w:t>COMPONENTE 2</w:t>
            </w:r>
          </w:p>
        </w:tc>
        <w:tc>
          <w:tcPr>
            <w:tcW w:w="2057" w:type="dxa"/>
          </w:tcPr>
          <w:p>
            <w:pPr>
              <w:pStyle w:val="8"/>
              <w:keepNext w:val="0"/>
              <w:keepLines w:val="0"/>
              <w:widowControl/>
              <w:suppressLineNumbers w:val="0"/>
              <w:jc w:val="right"/>
              <w:rPr>
                <w:rFonts w:hint="default" w:ascii="Verdana" w:hAnsi="Verdana" w:cs="Verdana"/>
                <w:sz w:val="20"/>
                <w:szCs w:val="20"/>
                <w:vertAlign w:val="baseline"/>
                <w:lang w:val="es-MX"/>
              </w:rPr>
            </w:pPr>
            <w:r>
              <w:rPr>
                <w:rFonts w:hint="default" w:ascii="Verdana" w:hAnsi="Verdana" w:cs="Verdana"/>
                <w:sz w:val="20"/>
                <w:szCs w:val="20"/>
                <w:vertAlign w:val="baseline"/>
                <w:lang w:val="es-MX"/>
              </w:rPr>
              <w:t>524.000.000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5" w:type="dxa"/>
          </w:tcPr>
          <w:p>
            <w:pPr>
              <w:pStyle w:val="8"/>
              <w:keepNext w:val="0"/>
              <w:keepLines w:val="0"/>
              <w:widowControl/>
              <w:suppressLineNumbers w:val="0"/>
              <w:rPr>
                <w:rFonts w:hint="default" w:ascii="Verdana" w:hAnsi="Verdana" w:cs="Verdana"/>
                <w:sz w:val="20"/>
                <w:szCs w:val="20"/>
                <w:vertAlign w:val="baseline"/>
                <w:lang w:val="es-MX"/>
              </w:rPr>
            </w:pPr>
            <w:r>
              <w:rPr>
                <w:rFonts w:hint="default" w:ascii="Verdana" w:hAnsi="Verdana" w:cs="Verdana"/>
                <w:sz w:val="20"/>
                <w:szCs w:val="20"/>
                <w:vertAlign w:val="baseline"/>
                <w:lang w:val="es-MX"/>
              </w:rPr>
              <w:t>GASTOS ADMINISTRATIVOS</w:t>
            </w:r>
          </w:p>
        </w:tc>
        <w:tc>
          <w:tcPr>
            <w:tcW w:w="2057" w:type="dxa"/>
          </w:tcPr>
          <w:p>
            <w:pPr>
              <w:pStyle w:val="8"/>
              <w:keepNext w:val="0"/>
              <w:keepLines w:val="0"/>
              <w:widowControl/>
              <w:suppressLineNumbers w:val="0"/>
              <w:jc w:val="right"/>
              <w:rPr>
                <w:rFonts w:hint="default" w:ascii="Verdana" w:hAnsi="Verdana" w:cs="Verdana"/>
                <w:sz w:val="20"/>
                <w:szCs w:val="20"/>
                <w:vertAlign w:val="baseline"/>
                <w:lang w:val="es-MX"/>
              </w:rPr>
            </w:pPr>
            <w:r>
              <w:rPr>
                <w:rFonts w:hint="default" w:ascii="Verdana" w:hAnsi="Verdana" w:cs="Verdana"/>
                <w:sz w:val="20"/>
                <w:szCs w:val="20"/>
                <w:vertAlign w:val="baseline"/>
                <w:lang w:val="es-MX"/>
              </w:rPr>
              <w:t>90.842.785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85" w:type="dxa"/>
          </w:tcPr>
          <w:p>
            <w:pPr>
              <w:pStyle w:val="8"/>
              <w:keepNext w:val="0"/>
              <w:keepLines w:val="0"/>
              <w:widowControl/>
              <w:suppressLineNumbers w:val="0"/>
              <w:rPr>
                <w:rFonts w:hint="default" w:ascii="Verdana" w:hAnsi="Verdana" w:cs="Verdana"/>
                <w:sz w:val="20"/>
                <w:szCs w:val="20"/>
                <w:vertAlign w:val="baseline"/>
                <w:lang w:val="es-MX"/>
              </w:rPr>
            </w:pPr>
            <w:r>
              <w:rPr>
                <w:rFonts w:hint="default" w:ascii="Verdana" w:hAnsi="Verdana" w:cs="Verdana"/>
                <w:sz w:val="20"/>
                <w:szCs w:val="20"/>
                <w:vertAlign w:val="baseline"/>
                <w:lang w:val="es-MX"/>
              </w:rPr>
              <w:t>MATERIAL DE OFICINA</w:t>
            </w:r>
          </w:p>
        </w:tc>
        <w:tc>
          <w:tcPr>
            <w:tcW w:w="2057" w:type="dxa"/>
          </w:tcPr>
          <w:p>
            <w:pPr>
              <w:pStyle w:val="8"/>
              <w:keepNext w:val="0"/>
              <w:keepLines w:val="0"/>
              <w:widowControl/>
              <w:suppressLineNumbers w:val="0"/>
              <w:jc w:val="right"/>
              <w:rPr>
                <w:rFonts w:hint="default" w:ascii="Verdana" w:hAnsi="Verdana" w:cs="Verdana"/>
                <w:sz w:val="20"/>
                <w:szCs w:val="20"/>
                <w:vertAlign w:val="baseline"/>
                <w:lang w:val="es-MX"/>
              </w:rPr>
            </w:pPr>
            <w:r>
              <w:rPr>
                <w:rFonts w:hint="default" w:ascii="Verdana" w:hAnsi="Verdana" w:cs="Verdana"/>
                <w:sz w:val="20"/>
                <w:szCs w:val="20"/>
                <w:vertAlign w:val="baseline"/>
                <w:lang w:val="es-MX"/>
              </w:rPr>
              <w:t>1.389.715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85" w:type="dxa"/>
          </w:tcPr>
          <w:p>
            <w:pPr>
              <w:pStyle w:val="8"/>
              <w:keepNext w:val="0"/>
              <w:keepLines w:val="0"/>
              <w:widowControl/>
              <w:suppressLineNumbers w:val="0"/>
              <w:rPr>
                <w:rFonts w:hint="default" w:ascii="Verdana" w:hAnsi="Verdana" w:cs="Verdana"/>
                <w:sz w:val="20"/>
                <w:szCs w:val="20"/>
                <w:vertAlign w:val="baseline"/>
                <w:lang w:val="es-MX"/>
              </w:rPr>
            </w:pPr>
            <w:r>
              <w:rPr>
                <w:rFonts w:hint="default" w:ascii="Verdana" w:hAnsi="Verdana" w:cs="Verdana"/>
                <w:sz w:val="20"/>
                <w:szCs w:val="20"/>
                <w:vertAlign w:val="baseline"/>
                <w:lang w:val="es-MX"/>
              </w:rPr>
              <w:t>DIFUSION</w:t>
            </w:r>
          </w:p>
        </w:tc>
        <w:tc>
          <w:tcPr>
            <w:tcW w:w="2057" w:type="dxa"/>
          </w:tcPr>
          <w:p>
            <w:pPr>
              <w:pStyle w:val="8"/>
              <w:keepNext w:val="0"/>
              <w:keepLines w:val="0"/>
              <w:widowControl/>
              <w:suppressLineNumbers w:val="0"/>
              <w:jc w:val="right"/>
              <w:rPr>
                <w:rFonts w:hint="default" w:ascii="Verdana" w:hAnsi="Verdana" w:cs="Verdana"/>
                <w:sz w:val="20"/>
                <w:szCs w:val="20"/>
                <w:vertAlign w:val="baseline"/>
                <w:lang w:val="es-MX"/>
              </w:rPr>
            </w:pPr>
            <w:r>
              <w:rPr>
                <w:rFonts w:hint="default" w:ascii="Verdana" w:hAnsi="Verdana" w:cs="Verdana"/>
                <w:sz w:val="20"/>
                <w:szCs w:val="20"/>
                <w:vertAlign w:val="baseline"/>
                <w:lang w:val="es-MX"/>
              </w:rPr>
              <w:t>16.900.000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285" w:type="dxa"/>
          </w:tcPr>
          <w:p>
            <w:pPr>
              <w:pStyle w:val="8"/>
              <w:keepNext w:val="0"/>
              <w:keepLines w:val="0"/>
              <w:widowControl/>
              <w:suppressLineNumbers w:val="0"/>
              <w:rPr>
                <w:rFonts w:hint="default" w:ascii="Verdana" w:hAnsi="Verdana" w:cs="Verdana"/>
                <w:sz w:val="20"/>
                <w:szCs w:val="20"/>
                <w:vertAlign w:val="baseline"/>
                <w:lang w:val="es-MX"/>
              </w:rPr>
            </w:pPr>
            <w:r>
              <w:rPr>
                <w:rFonts w:hint="default" w:ascii="Verdana" w:hAnsi="Verdana" w:cs="Verdana"/>
                <w:sz w:val="20"/>
                <w:szCs w:val="20"/>
                <w:vertAlign w:val="baseline"/>
                <w:lang w:val="es-MX"/>
              </w:rPr>
              <w:t>TOTAL</w:t>
            </w:r>
          </w:p>
        </w:tc>
        <w:tc>
          <w:tcPr>
            <w:tcW w:w="2057" w:type="dxa"/>
          </w:tcPr>
          <w:p>
            <w:pPr>
              <w:pStyle w:val="8"/>
              <w:keepNext w:val="0"/>
              <w:keepLines w:val="0"/>
              <w:widowControl/>
              <w:suppressLineNumbers w:val="0"/>
              <w:jc w:val="right"/>
              <w:rPr>
                <w:rFonts w:hint="default" w:ascii="Verdana" w:hAnsi="Verdana" w:cs="Verdana"/>
                <w:sz w:val="20"/>
                <w:szCs w:val="20"/>
                <w:vertAlign w:val="baseline"/>
                <w:lang w:val="es-MX"/>
              </w:rPr>
            </w:pPr>
            <w:r>
              <w:rPr>
                <w:rFonts w:hint="default" w:ascii="Verdana" w:hAnsi="Verdana" w:cs="Verdana"/>
                <w:sz w:val="20"/>
                <w:szCs w:val="20"/>
                <w:vertAlign w:val="baseline"/>
                <w:lang w:val="es-MX"/>
              </w:rPr>
              <w:t>934.976.000</w:t>
            </w:r>
          </w:p>
        </w:tc>
      </w:tr>
    </w:tbl>
    <w:p>
      <w:pPr>
        <w:pStyle w:val="8"/>
        <w:keepNext w:val="0"/>
        <w:keepLines w:val="0"/>
        <w:widowControl/>
        <w:suppressLineNumbers w:val="0"/>
        <w:rPr>
          <w:rFonts w:hint="default" w:ascii="Verdana" w:hAnsi="Verdana" w:cs="Verdana"/>
          <w:sz w:val="20"/>
          <w:szCs w:val="20"/>
          <w:lang w:val="es-MX"/>
        </w:rPr>
      </w:pPr>
      <w:r>
        <w:rPr>
          <w:rFonts w:hint="default" w:ascii="Verdana" w:hAnsi="Verdana" w:cs="Verdana"/>
          <w:sz w:val="20"/>
          <w:szCs w:val="20"/>
          <w:lang w:val="es-MX"/>
        </w:rPr>
        <w:t>Se somete a votación el programa, que tiene una duración de 5 años, con un costo total de $ 934.976.000</w:t>
      </w:r>
    </w:p>
    <w:p>
      <w:pPr>
        <w:pStyle w:val="8"/>
        <w:keepNext w:val="0"/>
        <w:keepLines w:val="0"/>
        <w:widowControl/>
        <w:suppressLineNumbers w:val="0"/>
        <w:rPr>
          <w:rFonts w:hint="default" w:ascii="Verdana" w:hAnsi="Verdana" w:cs="Verdana"/>
          <w:b/>
          <w:bCs/>
          <w:sz w:val="20"/>
          <w:szCs w:val="20"/>
          <w:lang w:val="es-MX"/>
        </w:rPr>
      </w:pPr>
      <w:r>
        <w:rPr>
          <w:rFonts w:hint="default" w:ascii="Verdana" w:hAnsi="Verdana" w:cs="Verdana"/>
          <w:b/>
          <w:bCs/>
          <w:sz w:val="20"/>
          <w:szCs w:val="20"/>
          <w:lang w:val="es-MX"/>
        </w:rPr>
        <w:t>Votación: se recomienda en forma unánime para ser presentado al pleno del consejo</w:t>
      </w: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8"/>
        <w:keepNext w:val="0"/>
        <w:keepLines w:val="0"/>
        <w:widowControl/>
        <w:suppressLineNumbers w:val="0"/>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p>
    <w:p>
      <w:pPr>
        <w:pStyle w:val="9"/>
        <w:spacing w:line="276" w:lineRule="auto"/>
        <w:ind w:left="0" w:firstLine="0"/>
        <w:jc w:val="both"/>
        <w:rPr>
          <w:rFonts w:cstheme="minorHAnsi"/>
          <w:sz w:val="20"/>
          <w:u w:val="single"/>
        </w:rPr>
      </w:pPr>
      <w:r>
        <w:rPr>
          <w:rFonts w:cstheme="minorHAnsi"/>
          <w:sz w:val="20"/>
          <w:u w:val="single"/>
        </w:rPr>
        <w:t>COMISIÓN MIXTA DE HACIENDA Y PROVINCIALES DEL RANCO Y VALDIVIA</w:t>
      </w:r>
    </w:p>
    <w:p>
      <w:pPr>
        <w:pStyle w:val="9"/>
        <w:spacing w:line="276" w:lineRule="auto"/>
        <w:ind w:left="0" w:firstLine="0"/>
        <w:jc w:val="both"/>
        <w:rPr>
          <w:rFonts w:cstheme="minorHAnsi"/>
          <w:sz w:val="20"/>
        </w:rPr>
      </w:pPr>
      <w:r>
        <w:rPr>
          <w:rFonts w:cstheme="minorHAnsi"/>
          <w:sz w:val="20"/>
        </w:rPr>
        <w:t>Lugar: Sala de Reuniones 2° Piso, Sede del CORE, Valdivia</w:t>
      </w:r>
    </w:p>
    <w:p>
      <w:pPr>
        <w:pStyle w:val="9"/>
        <w:spacing w:line="276" w:lineRule="auto"/>
        <w:ind w:left="1410" w:hanging="1410"/>
        <w:jc w:val="both"/>
        <w:rPr>
          <w:rFonts w:cstheme="minorHAnsi"/>
          <w:b/>
          <w:bCs/>
          <w:sz w:val="20"/>
        </w:rPr>
      </w:pPr>
      <w:r>
        <w:rPr>
          <w:rFonts w:cstheme="minorHAnsi"/>
          <w:b/>
          <w:bCs/>
          <w:sz w:val="20"/>
        </w:rPr>
        <w:t>10.05 hrs.</w:t>
      </w:r>
      <w:r>
        <w:rPr>
          <w:rFonts w:cstheme="minorHAnsi"/>
          <w:b/>
          <w:bCs/>
          <w:sz w:val="20"/>
        </w:rPr>
        <w:tab/>
      </w:r>
      <w:r>
        <w:rPr>
          <w:rFonts w:cstheme="minorHAnsi"/>
          <w:b/>
          <w:bCs/>
          <w:sz w:val="20"/>
        </w:rPr>
        <w:t>Presentación, análisis y resolución Creación e Incremento en los ingresos en Presupuesto de Inversión Regional.</w:t>
      </w:r>
    </w:p>
    <w:p>
      <w:pPr>
        <w:pStyle w:val="9"/>
        <w:spacing w:line="276" w:lineRule="auto"/>
        <w:ind w:left="1410" w:hanging="1410"/>
        <w:jc w:val="both"/>
        <w:rPr>
          <w:rFonts w:cstheme="minorHAnsi"/>
          <w:b/>
          <w:bCs/>
          <w:sz w:val="20"/>
        </w:rPr>
      </w:pPr>
      <w:r>
        <w:rPr>
          <w:rFonts w:cstheme="minorHAnsi"/>
          <w:b/>
          <w:bCs/>
          <w:sz w:val="20"/>
        </w:rPr>
        <w:tab/>
      </w:r>
      <w:r>
        <w:rPr>
          <w:rFonts w:cstheme="minorHAnsi"/>
          <w:b/>
          <w:bCs/>
          <w:sz w:val="20"/>
        </w:rPr>
        <w:t>Expone: Bruno Burgos/ Jefe DPIR.</w:t>
      </w:r>
    </w:p>
    <w:p>
      <w:pPr>
        <w:pStyle w:val="9"/>
        <w:spacing w:line="276" w:lineRule="auto"/>
        <w:ind w:left="1410" w:hanging="1410"/>
        <w:jc w:val="both"/>
        <w:rPr>
          <w:rFonts w:cstheme="minorHAnsi"/>
          <w:b w:val="0"/>
          <w:sz w:val="20"/>
        </w:rPr>
      </w:pPr>
    </w:p>
    <w:p>
      <w:pPr>
        <w:pStyle w:val="8"/>
        <w:bidi w:val="0"/>
        <w:jc w:val="both"/>
        <w:rPr>
          <w:rFonts w:hint="default" w:ascii="Verdana" w:hAnsi="Verdana" w:cs="Verdana"/>
          <w:sz w:val="20"/>
          <w:szCs w:val="20"/>
          <w:lang w:val="es-MX"/>
        </w:rPr>
      </w:pPr>
      <w:r>
        <w:rPr>
          <w:rFonts w:hint="default" w:ascii="Verdana" w:hAnsi="Verdana" w:cs="Verdana"/>
          <w:sz w:val="20"/>
          <w:szCs w:val="20"/>
          <w:lang w:val="es-MX"/>
        </w:rPr>
        <w:t>Señala Bruno Burgos, que l</w:t>
      </w:r>
      <w:r>
        <w:rPr>
          <w:rFonts w:hint="default" w:ascii="Verdana" w:hAnsi="Verdana" w:cs="Verdana"/>
          <w:sz w:val="20"/>
          <w:szCs w:val="20"/>
        </w:rPr>
        <w:t>a Necesidad de crear e incrementar el presupuesto de ingresos, correspondiente al subtítulo 08, Otros Ingresos Corrientes, Ítem 02 Multas y Sanciones Pecuniarias; Ítem 99 Otros, con la finalidad de registrar contablemente las multas y otros ingresos (por devoluciones fuera del periodo presupuestario)</w:t>
      </w:r>
      <w:r>
        <w:rPr>
          <w:rFonts w:hint="default" w:ascii="Verdana" w:hAnsi="Verdana" w:cs="Verdana"/>
          <w:sz w:val="20"/>
          <w:szCs w:val="20"/>
          <w:lang w:val="es-MX"/>
        </w:rPr>
        <w:t>.</w:t>
      </w:r>
    </w:p>
    <w:p>
      <w:pPr>
        <w:pStyle w:val="8"/>
        <w:bidi w:val="0"/>
        <w:jc w:val="both"/>
        <w:rPr>
          <w:rFonts w:hint="default" w:ascii="Verdana" w:hAnsi="Verdana" w:eastAsia="SimSun" w:cs="Verdana"/>
          <w:sz w:val="20"/>
          <w:szCs w:val="20"/>
          <w:lang w:val="es-MX"/>
        </w:rPr>
      </w:pPr>
      <w:r>
        <w:rPr>
          <w:rFonts w:hint="default" w:ascii="Verdana" w:hAnsi="Verdana" w:cs="Verdana"/>
          <w:sz w:val="20"/>
          <w:szCs w:val="20"/>
          <w:lang w:val="es-MX"/>
        </w:rPr>
        <w:t xml:space="preserve">Se solicita </w:t>
      </w:r>
      <w:r>
        <w:rPr>
          <w:rFonts w:hint="default" w:ascii="Verdana" w:hAnsi="Verdana" w:eastAsia="SimSun" w:cs="Verdana"/>
          <w:sz w:val="20"/>
          <w:szCs w:val="20"/>
        </w:rPr>
        <w:t>crear e incrementar el presupuesto de ingresos</w:t>
      </w:r>
      <w:r>
        <w:rPr>
          <w:rFonts w:hint="default" w:ascii="Verdana" w:hAnsi="Verdana" w:eastAsia="SimSun" w:cs="Verdana"/>
          <w:sz w:val="20"/>
          <w:szCs w:val="20"/>
          <w:lang w:val="es-MX"/>
        </w:rPr>
        <w:t xml:space="preserve"> de acuerdo al siguiente cuadro:</w:t>
      </w:r>
    </w:p>
    <w:tbl>
      <w:tblPr>
        <w:tblStyle w:val="10"/>
        <w:tblW w:w="949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15"/>
        <w:gridCol w:w="1446"/>
        <w:gridCol w:w="2893"/>
        <w:gridCol w:w="1532"/>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85"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Subtitulo</w:t>
            </w:r>
          </w:p>
        </w:tc>
        <w:tc>
          <w:tcPr>
            <w:tcW w:w="815"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Ítem</w:t>
            </w:r>
          </w:p>
        </w:tc>
        <w:tc>
          <w:tcPr>
            <w:tcW w:w="1446"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Asignación</w:t>
            </w:r>
          </w:p>
        </w:tc>
        <w:tc>
          <w:tcPr>
            <w:tcW w:w="2893"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Denominación</w:t>
            </w:r>
          </w:p>
        </w:tc>
        <w:tc>
          <w:tcPr>
            <w:tcW w:w="1532"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 xml:space="preserve">M$ </w:t>
            </w:r>
          </w:p>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incremento</w:t>
            </w:r>
          </w:p>
        </w:tc>
        <w:tc>
          <w:tcPr>
            <w:tcW w:w="1522"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 xml:space="preserve">M$ </w:t>
            </w:r>
          </w:p>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Reducción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top"/>
          </w:tcPr>
          <w:p>
            <w:pPr>
              <w:pStyle w:val="8"/>
              <w:keepNext w:val="0"/>
              <w:keepLines w:val="0"/>
              <w:widowControl w:val="0"/>
              <w:suppressLineNumbers w:val="0"/>
              <w:bidi w:val="0"/>
              <w:spacing w:line="256" w:lineRule="auto"/>
              <w:ind w:left="0" w:leftChars="0" w:right="0" w:rightChars="0"/>
              <w:jc w:val="both"/>
              <w:rPr>
                <w:rFonts w:hint="default" w:ascii="Verdana" w:hAnsi="Verdana" w:eastAsia="SimSun" w:cs="Verdana"/>
                <w:b/>
                <w:bCs/>
                <w:kern w:val="0"/>
                <w:sz w:val="20"/>
                <w:szCs w:val="20"/>
                <w:vertAlign w:val="baseline"/>
                <w:lang w:val="es-MX" w:eastAsia="zh-CN" w:bidi="ar"/>
              </w:rPr>
            </w:pPr>
            <w:r>
              <w:rPr>
                <w:rFonts w:hint="default" w:ascii="Verdana" w:hAnsi="Verdana" w:eastAsia="SimSun" w:cs="Verdana"/>
                <w:b/>
                <w:bCs/>
                <w:sz w:val="20"/>
                <w:szCs w:val="20"/>
                <w:vertAlign w:val="baseline"/>
                <w:lang w:val="es-MX"/>
              </w:rPr>
              <w:t>08</w:t>
            </w:r>
          </w:p>
        </w:tc>
        <w:tc>
          <w:tcPr>
            <w:tcW w:w="81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1446" w:type="dxa"/>
            <w:vAlign w:val="top"/>
          </w:tcPr>
          <w:p>
            <w:pPr>
              <w:pStyle w:val="8"/>
              <w:keepNext w:val="0"/>
              <w:keepLines w:val="0"/>
              <w:widowControl w:val="0"/>
              <w:suppressLineNumbers w:val="0"/>
              <w:bidi w:val="0"/>
              <w:spacing w:line="256" w:lineRule="auto"/>
              <w:ind w:left="0" w:leftChars="0" w:right="0" w:rightChars="0"/>
              <w:jc w:val="both"/>
              <w:rPr>
                <w:rFonts w:hint="default" w:ascii="Verdana" w:hAnsi="Verdana" w:eastAsia="SimSun" w:cs="Verdana"/>
                <w:kern w:val="0"/>
                <w:sz w:val="20"/>
                <w:szCs w:val="20"/>
                <w:vertAlign w:val="baseline"/>
                <w:lang w:val="es-MX" w:eastAsia="zh-CN" w:bidi="ar"/>
              </w:rPr>
            </w:pPr>
            <w:r>
              <w:rPr>
                <w:rFonts w:hint="default" w:ascii="Verdana" w:hAnsi="Verdana" w:eastAsia="SimSun" w:cs="Verdana"/>
                <w:sz w:val="20"/>
                <w:szCs w:val="20"/>
                <w:vertAlign w:val="baseline"/>
                <w:lang w:val="es-MX"/>
              </w:rPr>
              <w:t>C</w:t>
            </w:r>
          </w:p>
        </w:tc>
        <w:tc>
          <w:tcPr>
            <w:tcW w:w="2893" w:type="dxa"/>
            <w:vAlign w:val="top"/>
          </w:tcPr>
          <w:p>
            <w:pPr>
              <w:pStyle w:val="8"/>
              <w:keepNext w:val="0"/>
              <w:keepLines w:val="0"/>
              <w:widowControl w:val="0"/>
              <w:suppressLineNumbers w:val="0"/>
              <w:bidi w:val="0"/>
              <w:spacing w:line="256" w:lineRule="auto"/>
              <w:ind w:left="0" w:leftChars="0" w:right="0" w:rightChars="0"/>
              <w:jc w:val="both"/>
              <w:rPr>
                <w:rFonts w:hint="default" w:ascii="Verdana" w:hAnsi="Verdana" w:eastAsia="SimSun" w:cs="Verdana"/>
                <w:kern w:val="0"/>
                <w:sz w:val="20"/>
                <w:szCs w:val="20"/>
                <w:vertAlign w:val="baseline"/>
                <w:lang w:val="es-MX" w:eastAsia="zh-CN" w:bidi="ar"/>
              </w:rPr>
            </w:pPr>
            <w:r>
              <w:rPr>
                <w:rFonts w:hint="default" w:ascii="Verdana" w:hAnsi="Verdana" w:eastAsia="SimSun" w:cs="Verdana"/>
                <w:b/>
                <w:bCs/>
                <w:sz w:val="20"/>
                <w:szCs w:val="20"/>
                <w:vertAlign w:val="baseline"/>
                <w:lang w:val="es-MX"/>
              </w:rPr>
              <w:t>Otros Ingresos Corrientes</w:t>
            </w:r>
          </w:p>
        </w:tc>
        <w:tc>
          <w:tcPr>
            <w:tcW w:w="1532"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20</w:t>
            </w:r>
          </w:p>
        </w:tc>
        <w:tc>
          <w:tcPr>
            <w:tcW w:w="152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81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02</w:t>
            </w:r>
          </w:p>
        </w:tc>
        <w:tc>
          <w:tcPr>
            <w:tcW w:w="1446"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C</w:t>
            </w:r>
          </w:p>
        </w:tc>
        <w:tc>
          <w:tcPr>
            <w:tcW w:w="2893"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Multas y sanciones pecuniarias</w:t>
            </w:r>
          </w:p>
        </w:tc>
        <w:tc>
          <w:tcPr>
            <w:tcW w:w="153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10</w:t>
            </w:r>
          </w:p>
        </w:tc>
        <w:tc>
          <w:tcPr>
            <w:tcW w:w="152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81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99</w:t>
            </w:r>
          </w:p>
        </w:tc>
        <w:tc>
          <w:tcPr>
            <w:tcW w:w="1446"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C</w:t>
            </w:r>
          </w:p>
        </w:tc>
        <w:tc>
          <w:tcPr>
            <w:tcW w:w="2893"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Otros</w:t>
            </w:r>
          </w:p>
        </w:tc>
        <w:tc>
          <w:tcPr>
            <w:tcW w:w="153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10</w:t>
            </w:r>
          </w:p>
        </w:tc>
        <w:tc>
          <w:tcPr>
            <w:tcW w:w="152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b/>
                <w:bCs/>
                <w:sz w:val="20"/>
                <w:szCs w:val="20"/>
                <w:vertAlign w:val="baseline"/>
                <w:lang w:val="es-MX"/>
              </w:rPr>
              <w:t>31</w:t>
            </w:r>
          </w:p>
        </w:tc>
        <w:tc>
          <w:tcPr>
            <w:tcW w:w="81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1446"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2893"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b/>
                <w:bCs/>
                <w:sz w:val="20"/>
                <w:szCs w:val="20"/>
                <w:vertAlign w:val="baseline"/>
                <w:lang w:val="es-MX"/>
              </w:rPr>
              <w:t>Iniciativas de Inversión</w:t>
            </w:r>
          </w:p>
        </w:tc>
        <w:tc>
          <w:tcPr>
            <w:tcW w:w="153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1522" w:type="dxa"/>
          </w:tcPr>
          <w:p>
            <w:pPr>
              <w:pStyle w:val="8"/>
              <w:keepNext w:val="0"/>
              <w:keepLines w:val="0"/>
              <w:widowControl w:val="0"/>
              <w:suppressLineNumbers w:val="0"/>
              <w:bidi w:val="0"/>
              <w:spacing w:line="256" w:lineRule="auto"/>
              <w:jc w:val="both"/>
              <w:rPr>
                <w:rFonts w:hint="default" w:ascii="Verdana" w:hAnsi="Verdana" w:eastAsia="SimSun" w:cs="Verdana"/>
                <w:b/>
                <w:bCs/>
                <w:sz w:val="20"/>
                <w:szCs w:val="20"/>
                <w:vertAlign w:val="baseline"/>
                <w:lang w:val="es-MX"/>
              </w:rPr>
            </w:pPr>
            <w:r>
              <w:rPr>
                <w:rFonts w:hint="default" w:ascii="Verdana" w:hAnsi="Verdana" w:eastAsia="SimSun" w:cs="Verdana"/>
                <w:b/>
                <w:bCs/>
                <w:sz w:val="20"/>
                <w:szCs w:val="20"/>
                <w:vertAlign w:val="baseline"/>
                <w:lang w:val="es-MX"/>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815"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02</w:t>
            </w:r>
          </w:p>
        </w:tc>
        <w:tc>
          <w:tcPr>
            <w:tcW w:w="1446"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2893"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Proyectos</w:t>
            </w:r>
          </w:p>
        </w:tc>
        <w:tc>
          <w:tcPr>
            <w:tcW w:w="153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p>
        </w:tc>
        <w:tc>
          <w:tcPr>
            <w:tcW w:w="1522" w:type="dxa"/>
          </w:tcPr>
          <w:p>
            <w:pPr>
              <w:pStyle w:val="8"/>
              <w:keepNext w:val="0"/>
              <w:keepLines w:val="0"/>
              <w:widowControl w:val="0"/>
              <w:suppressLineNumbers w:val="0"/>
              <w:bidi w:val="0"/>
              <w:spacing w:line="256" w:lineRule="auto"/>
              <w:jc w:val="both"/>
              <w:rPr>
                <w:rFonts w:hint="default" w:ascii="Verdana" w:hAnsi="Verdana" w:eastAsia="SimSun" w:cs="Verdana"/>
                <w:sz w:val="20"/>
                <w:szCs w:val="20"/>
                <w:vertAlign w:val="baseline"/>
                <w:lang w:val="es-MX"/>
              </w:rPr>
            </w:pPr>
            <w:r>
              <w:rPr>
                <w:rFonts w:hint="default" w:ascii="Verdana" w:hAnsi="Verdana" w:eastAsia="SimSun" w:cs="Verdana"/>
                <w:sz w:val="20"/>
                <w:szCs w:val="20"/>
                <w:vertAlign w:val="baseline"/>
                <w:lang w:val="es-MX"/>
              </w:rPr>
              <w:t>20</w:t>
            </w:r>
          </w:p>
        </w:tc>
      </w:tr>
    </w:tbl>
    <w:p>
      <w:pPr>
        <w:pStyle w:val="8"/>
        <w:bidi w:val="0"/>
        <w:jc w:val="both"/>
        <w:rPr>
          <w:rFonts w:hint="default" w:ascii="Verdana" w:hAnsi="Verdana" w:eastAsia="SimSun" w:cs="Verdana"/>
          <w:sz w:val="20"/>
          <w:szCs w:val="20"/>
        </w:rPr>
      </w:pPr>
      <w:r>
        <w:rPr>
          <w:rFonts w:hint="default" w:ascii="Verdana" w:hAnsi="Verdana" w:eastAsia="SimSun" w:cs="Verdana"/>
          <w:sz w:val="20"/>
          <w:szCs w:val="20"/>
        </w:rPr>
        <w:t xml:space="preserve">02 Multas y Sanciones Pecuniarias (corresponden a ingresos provenientes de pagos obligatorios por parte de terceros, por el incumplimiento de la Leyes, normas administrativas u obligaciones). </w:t>
      </w:r>
    </w:p>
    <w:p>
      <w:pPr>
        <w:pStyle w:val="8"/>
        <w:bidi w:val="0"/>
        <w:jc w:val="both"/>
        <w:rPr>
          <w:rFonts w:hint="default" w:ascii="Verdana" w:hAnsi="Verdana" w:eastAsia="SimSun" w:cs="Verdana"/>
          <w:sz w:val="20"/>
          <w:szCs w:val="20"/>
          <w:lang w:val="es-MX"/>
        </w:rPr>
      </w:pPr>
      <w:r>
        <w:rPr>
          <w:rFonts w:hint="default" w:ascii="Verdana" w:hAnsi="Verdana" w:eastAsia="SimSun" w:cs="Verdana"/>
          <w:sz w:val="20"/>
          <w:szCs w:val="20"/>
        </w:rPr>
        <w:t>99 Otros ( Otros ingresos corrientes no especificados, como devoluciones no provenientes de impuestos, fondos en administración en Banco Central, íntegros Ley 19.030, Administradora del fondo para bonificación por retiro, ingresos por cobros de pagos en exceso, ingresos por cobros de pagos duplicados, otros).</w:t>
      </w:r>
    </w:p>
    <w:p>
      <w:pPr>
        <w:pStyle w:val="8"/>
        <w:bidi w:val="0"/>
        <w:jc w:val="both"/>
        <w:rPr>
          <w:rFonts w:hint="default" w:ascii="Verdana" w:hAnsi="Verdana" w:cs="Verdana"/>
          <w:sz w:val="20"/>
          <w:szCs w:val="20"/>
        </w:rPr>
      </w:pPr>
      <w:r>
        <w:rPr>
          <w:rFonts w:hint="default" w:ascii="Verdana" w:hAnsi="Verdana" w:cs="Verdana"/>
          <w:sz w:val="20"/>
          <w:szCs w:val="20"/>
        </w:rPr>
        <w:t>Se solicita Acuerdo para la correspondiente modificación a la distribución Inicial año 2024 y sus Modificaciones del presupuesto del Programa de Inversión Regional, en la forma que corresponda.</w:t>
      </w:r>
    </w:p>
    <w:p>
      <w:pPr>
        <w:pStyle w:val="8"/>
        <w:bidi w:val="0"/>
        <w:jc w:val="both"/>
        <w:rPr>
          <w:rFonts w:hint="default" w:ascii="Verdana" w:hAnsi="Verdana" w:cs="Verdana"/>
          <w:sz w:val="20"/>
          <w:szCs w:val="20"/>
          <w:lang w:val="es-MX"/>
        </w:rPr>
      </w:pPr>
      <w:r>
        <w:rPr>
          <w:rFonts w:hint="default" w:ascii="Verdana" w:hAnsi="Verdana" w:cs="Verdana"/>
          <w:sz w:val="20"/>
          <w:szCs w:val="20"/>
          <w:lang w:val="es-MX"/>
        </w:rPr>
        <w:t>Por tanto, se solicita aprobar incremento de $20.000 en subtitulo 08, item 02 y 99, Otros ingresos corrientes; y disminución en subtitulo 31 02, iniciativas de inversión, proyectos por $ 20.000.</w:t>
      </w:r>
    </w:p>
    <w:p>
      <w:pPr>
        <w:pStyle w:val="8"/>
        <w:keepNext w:val="0"/>
        <w:keepLines w:val="0"/>
        <w:widowControl/>
        <w:suppressLineNumbers w:val="0"/>
        <w:rPr>
          <w:rFonts w:hint="default" w:ascii="Verdana" w:hAnsi="Verdana" w:cs="Verdana"/>
          <w:b/>
          <w:bCs/>
          <w:sz w:val="20"/>
          <w:szCs w:val="20"/>
          <w:lang w:val="es-MX"/>
        </w:rPr>
      </w:pPr>
      <w:r>
        <w:rPr>
          <w:rFonts w:hint="default" w:ascii="Verdana" w:hAnsi="Verdana" w:cs="Verdana"/>
          <w:b/>
          <w:bCs/>
          <w:sz w:val="20"/>
          <w:szCs w:val="20"/>
          <w:lang w:val="es-MX"/>
        </w:rPr>
        <w:t>Votación: se recomienda en forma unánime para ser presentado al pleno del consejo</w:t>
      </w:r>
    </w:p>
    <w:p>
      <w:pPr>
        <w:pStyle w:val="8"/>
        <w:bidi w:val="0"/>
        <w:jc w:val="both"/>
        <w:rPr>
          <w:rFonts w:hint="default" w:ascii="Verdana" w:hAnsi="Verdana" w:cs="Verdana"/>
          <w:sz w:val="20"/>
          <w:szCs w:val="20"/>
          <w:lang w:val="es-MX"/>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bCs/>
          <w:sz w:val="20"/>
        </w:rPr>
      </w:pPr>
      <w:r>
        <w:rPr>
          <w:rFonts w:cstheme="minorHAnsi"/>
          <w:b/>
          <w:bCs/>
          <w:sz w:val="20"/>
        </w:rPr>
        <w:t>10.30 hrs. Presentación, análisis y resolución Rebaja en el Marco Presupuestario por concepto de emergencia desde nivel central.</w:t>
      </w:r>
    </w:p>
    <w:p>
      <w:pPr>
        <w:pStyle w:val="9"/>
        <w:spacing w:line="276" w:lineRule="auto"/>
        <w:ind w:left="1410" w:firstLine="0"/>
        <w:jc w:val="both"/>
        <w:rPr>
          <w:rFonts w:cstheme="minorHAnsi"/>
          <w:b/>
          <w:bCs/>
          <w:sz w:val="20"/>
        </w:rPr>
      </w:pPr>
      <w:r>
        <w:rPr>
          <w:rFonts w:cstheme="minorHAnsi"/>
          <w:b/>
          <w:bCs/>
          <w:sz w:val="20"/>
        </w:rPr>
        <w:t>Expone: Bruno Burgos/ Jefe DPIR.</w:t>
      </w:r>
    </w:p>
    <w:p>
      <w:pPr>
        <w:pStyle w:val="9"/>
        <w:spacing w:line="276" w:lineRule="auto"/>
        <w:ind w:left="1410" w:hanging="1410"/>
        <w:jc w:val="both"/>
        <w:rPr>
          <w:rFonts w:cstheme="minorHAnsi"/>
          <w:b w:val="0"/>
          <w:sz w:val="20"/>
        </w:rPr>
      </w:pPr>
    </w:p>
    <w:p>
      <w:pPr>
        <w:pStyle w:val="8"/>
        <w:bidi w:val="0"/>
        <w:jc w:val="both"/>
        <w:rPr>
          <w:rFonts w:hint="default" w:ascii="Verdana" w:hAnsi="Verdana" w:cs="Verdana"/>
          <w:sz w:val="20"/>
          <w:szCs w:val="20"/>
        </w:rPr>
      </w:pPr>
      <w:r>
        <w:rPr>
          <w:rFonts w:hint="default" w:ascii="Verdana" w:hAnsi="Verdana" w:cs="Verdana"/>
          <w:sz w:val="20"/>
          <w:szCs w:val="20"/>
          <w:lang w:val="es-MX"/>
        </w:rPr>
        <w:t>Se señala que s</w:t>
      </w:r>
      <w:r>
        <w:rPr>
          <w:rFonts w:hint="default" w:ascii="Verdana" w:hAnsi="Verdana" w:cs="Verdana"/>
          <w:sz w:val="20"/>
          <w:szCs w:val="20"/>
        </w:rPr>
        <w:t xml:space="preserve">egún lo dispuesto en la Ley de Presupuesto N°21.640 para el año 2024; la glosa N°08 del Programa de Inversión Regional; el Decreto N°2273 del Ministerio de Hacienda; la Resolución N°22 del Ministerio de Hacienda, que distribuyó el Presupuesto del Programa de Inversión Regional. </w:t>
      </w:r>
    </w:p>
    <w:p>
      <w:pPr>
        <w:pStyle w:val="8"/>
        <w:bidi w:val="0"/>
        <w:jc w:val="both"/>
        <w:rPr>
          <w:rFonts w:hint="default" w:ascii="Verdana" w:hAnsi="Verdana" w:cs="Verdana"/>
          <w:sz w:val="20"/>
          <w:szCs w:val="20"/>
        </w:rPr>
      </w:pPr>
      <w:r>
        <w:rPr>
          <w:rFonts w:hint="default" w:ascii="Verdana" w:hAnsi="Verdana" w:cs="Verdana"/>
          <w:sz w:val="20"/>
          <w:szCs w:val="20"/>
        </w:rPr>
        <w:t>El Decreto N°168 del Ministerio de Hacienda, de 01 de Marzo de de 2024, que modifica Presupuesto vigente del sector público, para atender situaciones de emergencia (incendio estructural y sistema frontal, Ordinarios N°3573 y 3574 de 01-02-2024), reduciendo el programa de Inversión Regional del Gobierno Regional de Los Ríos en M$100.823.</w:t>
      </w:r>
    </w:p>
    <w:p>
      <w:pPr>
        <w:pStyle w:val="8"/>
        <w:bidi w:val="0"/>
        <w:jc w:val="both"/>
        <w:rPr>
          <w:rFonts w:hint="default" w:ascii="Verdana" w:hAnsi="Verdana" w:eastAsia="SimSun" w:cs="Verdana"/>
          <w:sz w:val="20"/>
          <w:szCs w:val="20"/>
        </w:rPr>
      </w:pPr>
      <w:r>
        <w:rPr>
          <w:rFonts w:hint="default" w:ascii="Verdana" w:hAnsi="Verdana" w:eastAsia="SimSun" w:cs="Verdana"/>
          <w:sz w:val="20"/>
          <w:szCs w:val="20"/>
        </w:rPr>
        <w:t>Se solicita el Acuerdo del Consejo Regional para la correspondiente modificación a la distribución del del presupuesto del Programa de Inversión Regional, en la forma que corresponda.</w:t>
      </w:r>
    </w:p>
    <w:p>
      <w:pPr>
        <w:pStyle w:val="8"/>
        <w:keepNext w:val="0"/>
        <w:keepLines w:val="0"/>
        <w:widowControl/>
        <w:suppressLineNumbers w:val="0"/>
        <w:rPr>
          <w:rFonts w:hint="default" w:ascii="Verdana" w:hAnsi="Verdana" w:cs="Verdana"/>
          <w:b/>
          <w:bCs/>
          <w:sz w:val="20"/>
          <w:szCs w:val="20"/>
          <w:lang w:val="es-MX"/>
        </w:rPr>
      </w:pPr>
      <w:r>
        <w:rPr>
          <w:rFonts w:hint="default" w:ascii="Verdana" w:hAnsi="Verdana" w:cs="Verdana"/>
          <w:b/>
          <w:bCs/>
          <w:sz w:val="20"/>
          <w:szCs w:val="20"/>
          <w:lang w:val="es-MX"/>
        </w:rPr>
        <w:t>Votación: se recomienda en forma unánime para ser presentado al pleno del consejo</w:t>
      </w:r>
    </w:p>
    <w:p>
      <w:pPr>
        <w:pStyle w:val="8"/>
        <w:bidi w:val="0"/>
        <w:jc w:val="both"/>
        <w:rPr>
          <w:rFonts w:hint="default" w:ascii="Verdana" w:hAnsi="Verdana" w:eastAsia="SimSun" w:cs="Verdana"/>
          <w:sz w:val="20"/>
          <w:szCs w:val="20"/>
          <w:lang w:val="es-MX"/>
        </w:rPr>
      </w:pPr>
    </w:p>
    <w:p>
      <w:pPr>
        <w:pStyle w:val="8"/>
        <w:bidi w:val="0"/>
        <w:jc w:val="both"/>
        <w:rPr>
          <w:rFonts w:hint="default" w:ascii="Verdana" w:hAnsi="Verdana" w:cs="Verdana"/>
          <w:sz w:val="20"/>
          <w:szCs w:val="20"/>
          <w:lang w:val="es-MX"/>
        </w:rPr>
      </w:pPr>
    </w:p>
    <w:p>
      <w:pPr>
        <w:pStyle w:val="8"/>
        <w:bidi w:val="0"/>
        <w:jc w:val="both"/>
        <w:rPr>
          <w:rFonts w:hint="default" w:ascii="Verdana" w:hAnsi="Verdana" w:cs="Verdana"/>
          <w:sz w:val="20"/>
          <w:szCs w:val="20"/>
          <w:lang w:val="es-MX"/>
        </w:rPr>
      </w:pPr>
    </w:p>
    <w:p>
      <w:pPr>
        <w:pStyle w:val="8"/>
        <w:bidi w:val="0"/>
        <w:jc w:val="both"/>
        <w:rPr>
          <w:rFonts w:hint="default" w:ascii="Verdana" w:hAnsi="Verdana" w:cs="Verdana"/>
          <w:sz w:val="20"/>
          <w:szCs w:val="20"/>
          <w:lang w:val="es-MX"/>
        </w:rPr>
      </w:pPr>
    </w:p>
    <w:p>
      <w:pPr>
        <w:pStyle w:val="8"/>
        <w:bidi w:val="0"/>
        <w:jc w:val="both"/>
        <w:rPr>
          <w:rFonts w:hint="default" w:ascii="Verdana" w:hAnsi="Verdana" w:cs="Verdana"/>
          <w:sz w:val="20"/>
          <w:szCs w:val="20"/>
          <w:lang w:val="es-MX"/>
        </w:rPr>
      </w:pPr>
    </w:p>
    <w:p>
      <w:pPr>
        <w:pStyle w:val="8"/>
        <w:bidi w:val="0"/>
        <w:jc w:val="both"/>
        <w:rPr>
          <w:rFonts w:hint="default" w:ascii="Verdana" w:hAnsi="Verdana" w:cs="Verdana"/>
          <w:sz w:val="20"/>
          <w:szCs w:val="20"/>
          <w:lang w:val="es-MX"/>
        </w:rPr>
      </w:pPr>
    </w:p>
    <w:p>
      <w:pPr>
        <w:pStyle w:val="8"/>
        <w:bidi w:val="0"/>
        <w:jc w:val="both"/>
        <w:rPr>
          <w:rFonts w:hint="default" w:ascii="Verdana" w:hAnsi="Verdana" w:cs="Verdana"/>
          <w:sz w:val="20"/>
          <w:szCs w:val="20"/>
          <w:lang w:val="es-MX"/>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0" w:leftChars="0" w:firstLine="0" w:firstLineChars="0"/>
        <w:jc w:val="both"/>
        <w:rPr>
          <w:rFonts w:cstheme="minorHAnsi"/>
          <w:b w:val="0"/>
          <w:sz w:val="20"/>
        </w:rPr>
      </w:pPr>
    </w:p>
    <w:p>
      <w:pPr>
        <w:pStyle w:val="9"/>
        <w:ind w:left="0" w:firstLine="0"/>
        <w:jc w:val="both"/>
        <w:rPr>
          <w:rFonts w:cstheme="minorHAnsi"/>
          <w:sz w:val="20"/>
          <w:u w:val="single"/>
        </w:rPr>
      </w:pPr>
      <w:r>
        <w:rPr>
          <w:rFonts w:cstheme="minorHAnsi"/>
          <w:sz w:val="20"/>
          <w:u w:val="single"/>
        </w:rPr>
        <w:t>COMISIÓN MIXTA DE HACIENDA E INFRAESTRUCTURA</w:t>
      </w:r>
    </w:p>
    <w:p>
      <w:pPr>
        <w:pStyle w:val="9"/>
        <w:ind w:left="1410" w:hanging="1410"/>
        <w:jc w:val="both"/>
        <w:rPr>
          <w:rFonts w:cstheme="minorHAnsi"/>
          <w:sz w:val="20"/>
        </w:rPr>
      </w:pPr>
      <w:r>
        <w:rPr>
          <w:rFonts w:cstheme="minorHAnsi"/>
          <w:sz w:val="20"/>
        </w:rPr>
        <w:t>Lugar: Sala de Reuniones 2° Piso, Sede del CORE, Valdivia</w:t>
      </w:r>
      <w:r>
        <w:rPr>
          <w:rFonts w:cstheme="minorHAnsi"/>
          <w:b w:val="0"/>
          <w:sz w:val="20"/>
        </w:rPr>
        <w:tab/>
      </w:r>
      <w:r>
        <w:rPr>
          <w:rFonts w:cstheme="minorHAnsi"/>
          <w:b w:val="0"/>
          <w:sz w:val="20"/>
        </w:rPr>
        <w:t xml:space="preserve">  </w:t>
      </w:r>
    </w:p>
    <w:p>
      <w:pPr>
        <w:pStyle w:val="9"/>
        <w:spacing w:line="276" w:lineRule="auto"/>
        <w:ind w:left="1416" w:hanging="1416"/>
        <w:jc w:val="both"/>
        <w:rPr>
          <w:b w:val="0"/>
          <w:sz w:val="20"/>
        </w:rPr>
      </w:pPr>
      <w:bookmarkStart w:id="0" w:name="_GoBack"/>
      <w:bookmarkEnd w:id="0"/>
    </w:p>
    <w:p>
      <w:pPr>
        <w:pStyle w:val="9"/>
        <w:spacing w:line="276" w:lineRule="auto"/>
        <w:ind w:left="1416" w:hanging="1416"/>
        <w:jc w:val="both"/>
        <w:rPr>
          <w:b/>
          <w:bCs/>
          <w:sz w:val="20"/>
        </w:rPr>
      </w:pPr>
      <w:r>
        <w:rPr>
          <w:b/>
          <w:bCs/>
          <w:sz w:val="20"/>
        </w:rPr>
        <w:t>12.00 hrs.</w:t>
      </w:r>
      <w:r>
        <w:rPr>
          <w:b/>
          <w:bCs/>
          <w:sz w:val="20"/>
        </w:rPr>
        <w:tab/>
      </w:r>
      <w:r>
        <w:rPr>
          <w:b/>
          <w:bCs/>
          <w:sz w:val="20"/>
        </w:rPr>
        <w:t>Presentación, análisis y resolución aumento de presupuesto en Ítem Consultorías de proyecto “Reposición Colegio José Manuel Balmaceda, comuna de Futrono”</w:t>
      </w:r>
    </w:p>
    <w:p>
      <w:pPr>
        <w:pStyle w:val="9"/>
        <w:spacing w:line="276" w:lineRule="auto"/>
        <w:ind w:left="1416" w:hanging="1416"/>
        <w:jc w:val="both"/>
        <w:rPr>
          <w:rFonts w:cstheme="minorHAnsi"/>
          <w:b/>
          <w:bCs/>
          <w:sz w:val="20"/>
        </w:rPr>
      </w:pPr>
      <w:r>
        <w:rPr>
          <w:rFonts w:cstheme="minorHAnsi"/>
          <w:b/>
          <w:bCs/>
          <w:sz w:val="20"/>
        </w:rPr>
        <w:tab/>
      </w:r>
      <w:r>
        <w:rPr>
          <w:rFonts w:cstheme="minorHAnsi"/>
          <w:b/>
          <w:bCs/>
          <w:sz w:val="20"/>
        </w:rPr>
        <w:t xml:space="preserve">Expone: Carlos Barrientos/ Director Regional de Arquitectura. </w:t>
      </w:r>
    </w:p>
    <w:p>
      <w:pPr>
        <w:pStyle w:val="9"/>
        <w:spacing w:line="276" w:lineRule="auto"/>
        <w:ind w:left="1410" w:hanging="1410"/>
        <w:jc w:val="both"/>
        <w:rPr>
          <w:rFonts w:cstheme="minorHAnsi"/>
          <w:b w:val="0"/>
          <w:sz w:val="20"/>
        </w:rPr>
      </w:pPr>
    </w:p>
    <w:p>
      <w:pPr>
        <w:pStyle w:val="9"/>
        <w:spacing w:line="276" w:lineRule="auto"/>
        <w:ind w:left="1410" w:firstLine="0" w:firstLineChars="0"/>
        <w:jc w:val="both"/>
        <w:rPr>
          <w:rFonts w:hint="default"/>
          <w:b w:val="0"/>
          <w:sz w:val="20"/>
        </w:rPr>
      </w:pPr>
      <w:r>
        <w:rPr>
          <w:rFonts w:hint="default"/>
          <w:b w:val="0"/>
          <w:sz w:val="20"/>
        </w:rPr>
        <w:t xml:space="preserve">La iniciativa consideraba en esta etapa la contratación de un diseño de arquitectura y proyectos de especialidades, destinados a la reposición del recinto educativo municipal Colegio José Manuel Balmaceda de la comuna de Futrono, de acuerdo al programa arquitectónico aprobado, por una superficie de 9.052 m2. </w:t>
      </w:r>
    </w:p>
    <w:p>
      <w:pPr>
        <w:pStyle w:val="9"/>
        <w:spacing w:line="276" w:lineRule="auto"/>
        <w:ind w:left="1410" w:firstLine="0" w:firstLineChars="0"/>
        <w:jc w:val="both"/>
        <w:rPr>
          <w:rFonts w:hint="default"/>
          <w:b w:val="0"/>
          <w:sz w:val="20"/>
        </w:rPr>
      </w:pPr>
    </w:p>
    <w:p>
      <w:pPr>
        <w:pStyle w:val="9"/>
        <w:spacing w:line="276" w:lineRule="auto"/>
        <w:ind w:left="1410" w:firstLine="0" w:firstLineChars="0"/>
        <w:jc w:val="both"/>
        <w:rPr>
          <w:rFonts w:hint="default"/>
          <w:b w:val="0"/>
          <w:sz w:val="20"/>
        </w:rPr>
      </w:pPr>
      <w:r>
        <w:rPr>
          <w:rFonts w:hint="default"/>
          <w:b w:val="0"/>
          <w:sz w:val="20"/>
        </w:rPr>
        <w:t xml:space="preserve">El diseño avanzó hasta verse enfrentado a una insuficiente cabida del terreno disponible en el actual emplazamiento del establecimiento. Ante eso, se liquidó </w:t>
      </w:r>
      <w:r>
        <w:rPr>
          <w:rFonts w:hint="default"/>
          <w:b w:val="0"/>
          <w:sz w:val="20"/>
          <w:lang w:val="es-MX"/>
        </w:rPr>
        <w:t>anticipadamente</w:t>
      </w:r>
      <w:r>
        <w:rPr>
          <w:rFonts w:hint="default"/>
          <w:b w:val="0"/>
          <w:sz w:val="20"/>
        </w:rPr>
        <w:t xml:space="preserve"> el contrato, según Resolución D</w:t>
      </w:r>
      <w:r>
        <w:rPr>
          <w:rFonts w:hint="default"/>
          <w:b w:val="0"/>
          <w:sz w:val="20"/>
          <w:lang w:val="es-MX"/>
        </w:rPr>
        <w:t xml:space="preserve">irección de </w:t>
      </w:r>
      <w:r>
        <w:rPr>
          <w:rFonts w:hint="default"/>
          <w:b w:val="0"/>
          <w:sz w:val="20"/>
        </w:rPr>
        <w:t>A</w:t>
      </w:r>
      <w:r>
        <w:rPr>
          <w:rFonts w:hint="default"/>
          <w:b w:val="0"/>
          <w:sz w:val="20"/>
          <w:lang w:val="es-MX"/>
        </w:rPr>
        <w:t xml:space="preserve">rquitectura </w:t>
      </w:r>
      <w:r>
        <w:rPr>
          <w:rFonts w:hint="default"/>
          <w:b w:val="0"/>
          <w:sz w:val="20"/>
        </w:rPr>
        <w:t>R</w:t>
      </w:r>
      <w:r>
        <w:rPr>
          <w:rFonts w:hint="default"/>
          <w:b w:val="0"/>
          <w:sz w:val="20"/>
          <w:lang w:val="es-MX"/>
        </w:rPr>
        <w:t>egional</w:t>
      </w:r>
      <w:r>
        <w:rPr>
          <w:rFonts w:hint="default"/>
          <w:b w:val="0"/>
          <w:sz w:val="20"/>
        </w:rPr>
        <w:t xml:space="preserve"> de Los Ríos N°217 de fecha 28.03.2022,situación frente a la cual corresponde cancelar una indemnización por disminución de servicios contratados, aplicando el  Reglamento de Contratos para Trabajos de Consultoría del MOP, art. 64° letra c) y art.60° para su cálculo. Por otra parte, se considera resciliar el Convenio Mandato con la DA-MOP y convenir la ejecución del proyecto con la Municipalidad de Futrono, que ya cuenta con tratativas avanzadas para la adquisición de un nuevo terreno.</w:t>
      </w:r>
      <w:r>
        <w:rPr>
          <w:rFonts w:hint="default"/>
          <w:b w:val="0"/>
          <w:sz w:val="20"/>
        </w:rPr>
        <w:tab/>
      </w:r>
    </w:p>
    <w:p>
      <w:pPr>
        <w:pStyle w:val="9"/>
        <w:spacing w:line="276" w:lineRule="auto"/>
        <w:ind w:left="1410" w:firstLine="0" w:firstLineChars="0"/>
        <w:jc w:val="both"/>
        <w:rPr>
          <w:rFonts w:hint="default"/>
          <w:b w:val="0"/>
          <w:sz w:val="20"/>
        </w:rPr>
      </w:pPr>
    </w:p>
    <w:p>
      <w:pPr>
        <w:pStyle w:val="9"/>
        <w:spacing w:line="276" w:lineRule="auto"/>
        <w:ind w:left="1410" w:firstLine="0" w:firstLineChars="0"/>
        <w:jc w:val="both"/>
        <w:rPr>
          <w:rFonts w:hint="default"/>
          <w:b w:val="0"/>
          <w:sz w:val="20"/>
        </w:rPr>
      </w:pPr>
      <w:r>
        <w:rPr>
          <w:rFonts w:hint="default"/>
          <w:b w:val="0"/>
          <w:sz w:val="20"/>
        </w:rPr>
        <w:tab/>
      </w:r>
      <w:r>
        <w:rPr>
          <w:rFonts w:hint="default"/>
          <w:b w:val="0"/>
          <w:sz w:val="20"/>
        </w:rPr>
        <w:t xml:space="preserve">La presente solicitud de aumento de presupuesto para esta </w:t>
      </w:r>
      <w:r>
        <w:rPr>
          <w:rFonts w:hint="default"/>
          <w:b w:val="0"/>
          <w:sz w:val="20"/>
          <w:lang w:val="es-MX"/>
        </w:rPr>
        <w:t>iniciativa</w:t>
      </w:r>
      <w:r>
        <w:rPr>
          <w:rFonts w:hint="default"/>
          <w:b w:val="0"/>
          <w:sz w:val="20"/>
        </w:rPr>
        <w:t xml:space="preserve"> se fundamenta en la necesidad de financiar un mayor costo de lo contratado, que corresponde al monto de indemnización actualizada para liquidar el contrato, resciliar el Convenio Mandato y convenir con la nueva Unidad Técnica la continuidad del proyecto.</w:t>
      </w:r>
    </w:p>
    <w:p>
      <w:pPr>
        <w:pStyle w:val="9"/>
        <w:spacing w:line="276" w:lineRule="auto"/>
        <w:ind w:left="1410" w:firstLine="0" w:firstLineChars="0"/>
        <w:jc w:val="both"/>
        <w:rPr>
          <w:rFonts w:hint="default"/>
          <w:b w:val="0"/>
          <w:sz w:val="20"/>
        </w:rPr>
      </w:pPr>
    </w:p>
    <w:p>
      <w:pPr>
        <w:pStyle w:val="9"/>
        <w:spacing w:line="276" w:lineRule="auto"/>
        <w:ind w:left="1410" w:firstLine="0" w:firstLineChars="0"/>
        <w:jc w:val="both"/>
        <w:rPr>
          <w:rFonts w:hint="default"/>
          <w:b w:val="0"/>
          <w:sz w:val="20"/>
        </w:rPr>
      </w:pPr>
      <w:r>
        <w:rPr>
          <w:rFonts w:hint="default"/>
          <w:b w:val="0"/>
          <w:sz w:val="20"/>
        </w:rPr>
        <w:tab/>
      </w:r>
    </w:p>
    <w:tbl>
      <w:tblPr>
        <w:tblStyle w:val="4"/>
        <w:tblW w:w="98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13"/>
        <w:gridCol w:w="2074"/>
        <w:gridCol w:w="1791"/>
        <w:gridCol w:w="1572"/>
        <w:gridCol w:w="17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27" w:hRule="atLeast"/>
        </w:trPr>
        <w:tc>
          <w:tcPr>
            <w:tcW w:w="2613"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pPr>
              <w:keepNext w:val="0"/>
              <w:keepLines w:val="0"/>
              <w:widowControl/>
              <w:suppressLineNumbers w:val="0"/>
              <w:jc w:val="center"/>
              <w:textAlignment w:val="center"/>
              <w:rPr>
                <w:rFonts w:ascii="Arial Narrow" w:hAnsi="Arial Narrow" w:eastAsia="Arial Narrow" w:cs="Arial Narrow"/>
                <w:b/>
                <w:bCs/>
                <w:i w:val="0"/>
                <w:iCs w:val="0"/>
                <w:color w:val="000000"/>
                <w:sz w:val="20"/>
                <w:szCs w:val="20"/>
                <w:u w:val="none"/>
              </w:rPr>
            </w:pPr>
            <w:r>
              <w:rPr>
                <w:rFonts w:hint="default" w:ascii="Arial Narrow" w:hAnsi="Arial Narrow" w:eastAsia="Arial Narrow" w:cs="Arial Narrow"/>
                <w:b/>
                <w:bCs/>
                <w:i w:val="0"/>
                <w:iCs w:val="0"/>
                <w:color w:val="000000"/>
                <w:kern w:val="0"/>
                <w:sz w:val="20"/>
                <w:szCs w:val="20"/>
                <w:u w:val="none"/>
                <w:lang w:val="en-US" w:eastAsia="zh-CN" w:bidi="ar"/>
              </w:rPr>
              <w:t>ITEM</w:t>
            </w:r>
          </w:p>
        </w:tc>
        <w:tc>
          <w:tcPr>
            <w:tcW w:w="2074" w:type="dxa"/>
            <w:tcBorders>
              <w:top w:val="single" w:color="000000" w:sz="2" w:space="0"/>
              <w:left w:val="single" w:color="000000" w:sz="2" w:space="0"/>
              <w:bottom w:val="single" w:color="000000" w:sz="2" w:space="0"/>
              <w:right w:val="nil"/>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b/>
                <w:bCs/>
                <w:i w:val="0"/>
                <w:iCs w:val="0"/>
                <w:color w:val="000000"/>
                <w:sz w:val="20"/>
                <w:szCs w:val="20"/>
                <w:u w:val="none"/>
              </w:rPr>
            </w:pPr>
            <w:r>
              <w:rPr>
                <w:rFonts w:hint="default" w:ascii="Arial Narrow" w:hAnsi="Arial Narrow" w:eastAsia="Arial Narrow" w:cs="Arial Narrow"/>
                <w:b/>
                <w:bCs/>
                <w:i w:val="0"/>
                <w:iCs w:val="0"/>
                <w:color w:val="000000"/>
                <w:kern w:val="0"/>
                <w:sz w:val="20"/>
                <w:szCs w:val="20"/>
                <w:u w:val="none"/>
                <w:lang w:val="en-US" w:eastAsia="zh-CN" w:bidi="ar"/>
              </w:rPr>
              <w:t>APROBADO PPTO. INICIAL AÑO ($)</w:t>
            </w:r>
          </w:p>
        </w:tc>
        <w:tc>
          <w:tcPr>
            <w:tcW w:w="1791" w:type="dxa"/>
            <w:tcBorders>
              <w:top w:val="single" w:color="000000" w:sz="8" w:space="0"/>
              <w:left w:val="single" w:color="000000" w:sz="8" w:space="0"/>
              <w:bottom w:val="single" w:color="000000" w:sz="2" w:space="0"/>
              <w:right w:val="single" w:color="000000" w:sz="2" w:space="0"/>
            </w:tcBorders>
            <w:shd w:val="clear" w:color="auto" w:fill="E7E6E6"/>
            <w:vAlign w:val="center"/>
          </w:tcPr>
          <w:p>
            <w:pPr>
              <w:keepNext w:val="0"/>
              <w:keepLines w:val="0"/>
              <w:widowControl/>
              <w:suppressLineNumbers w:val="0"/>
              <w:jc w:val="center"/>
              <w:textAlignment w:val="center"/>
              <w:rPr>
                <w:rFonts w:hint="default" w:ascii="Arial Narrow" w:hAnsi="Arial Narrow" w:eastAsia="Arial Narrow" w:cs="Arial Narrow"/>
                <w:b/>
                <w:bCs/>
                <w:i w:val="0"/>
                <w:iCs w:val="0"/>
                <w:color w:val="000000"/>
                <w:sz w:val="20"/>
                <w:szCs w:val="20"/>
                <w:u w:val="none"/>
              </w:rPr>
            </w:pPr>
            <w:r>
              <w:rPr>
                <w:rFonts w:hint="default" w:ascii="Arial Narrow" w:hAnsi="Arial Narrow" w:eastAsia="Arial Narrow" w:cs="Arial Narrow"/>
                <w:b/>
                <w:bCs/>
                <w:i w:val="0"/>
                <w:iCs w:val="0"/>
                <w:color w:val="000000"/>
                <w:kern w:val="0"/>
                <w:sz w:val="20"/>
                <w:szCs w:val="20"/>
                <w:u w:val="none"/>
                <w:lang w:val="en-US" w:eastAsia="zh-CN" w:bidi="ar"/>
              </w:rPr>
              <w:t>MONTO APROBADO CORE VIGENTE ($)</w:t>
            </w:r>
          </w:p>
        </w:tc>
        <w:tc>
          <w:tcPr>
            <w:tcW w:w="1572" w:type="dxa"/>
            <w:tcBorders>
              <w:top w:val="single" w:color="000000" w:sz="8" w:space="0"/>
              <w:left w:val="single" w:color="000000" w:sz="2" w:space="0"/>
              <w:bottom w:val="single" w:color="000000" w:sz="2" w:space="0"/>
              <w:right w:val="single" w:color="000000" w:sz="2" w:space="0"/>
            </w:tcBorders>
            <w:shd w:val="clear" w:color="auto" w:fill="E7E6E6"/>
            <w:vAlign w:val="center"/>
          </w:tcPr>
          <w:p>
            <w:pPr>
              <w:keepNext w:val="0"/>
              <w:keepLines w:val="0"/>
              <w:widowControl/>
              <w:suppressLineNumbers w:val="0"/>
              <w:jc w:val="center"/>
              <w:textAlignment w:val="center"/>
              <w:rPr>
                <w:rFonts w:hint="default" w:ascii="Arial Narrow" w:hAnsi="Arial Narrow" w:eastAsia="Arial Narrow" w:cs="Arial Narrow"/>
                <w:b/>
                <w:bCs/>
                <w:i w:val="0"/>
                <w:iCs w:val="0"/>
                <w:color w:val="000000"/>
                <w:sz w:val="20"/>
                <w:szCs w:val="20"/>
                <w:highlight w:val="yellow"/>
                <w:u w:val="none"/>
              </w:rPr>
            </w:pPr>
            <w:r>
              <w:rPr>
                <w:rFonts w:hint="default" w:ascii="Arial Narrow" w:hAnsi="Arial Narrow" w:eastAsia="Arial Narrow" w:cs="Arial Narrow"/>
                <w:b/>
                <w:bCs/>
                <w:i w:val="0"/>
                <w:iCs w:val="0"/>
                <w:color w:val="000000"/>
                <w:kern w:val="0"/>
                <w:sz w:val="20"/>
                <w:szCs w:val="20"/>
                <w:highlight w:val="yellow"/>
                <w:u w:val="none"/>
                <w:lang w:val="en-US" w:eastAsia="zh-CN" w:bidi="ar"/>
              </w:rPr>
              <w:t>AUMENTO EFECTIVO SOLICITADO AL CORE ($)</w:t>
            </w:r>
          </w:p>
        </w:tc>
        <w:tc>
          <w:tcPr>
            <w:tcW w:w="1791" w:type="dxa"/>
            <w:tcBorders>
              <w:top w:val="single" w:color="000000" w:sz="8" w:space="0"/>
              <w:left w:val="single" w:color="000000" w:sz="2" w:space="0"/>
              <w:bottom w:val="single" w:color="000000" w:sz="2" w:space="0"/>
              <w:right w:val="single" w:color="000000" w:sz="8" w:space="0"/>
            </w:tcBorders>
            <w:shd w:val="clear" w:color="auto" w:fill="E7E6E6"/>
            <w:vAlign w:val="center"/>
          </w:tcPr>
          <w:p>
            <w:pPr>
              <w:keepNext w:val="0"/>
              <w:keepLines w:val="0"/>
              <w:widowControl/>
              <w:suppressLineNumbers w:val="0"/>
              <w:jc w:val="center"/>
              <w:textAlignment w:val="center"/>
              <w:rPr>
                <w:rFonts w:hint="default" w:ascii="Arial Narrow" w:hAnsi="Arial Narrow" w:eastAsia="Arial Narrow" w:cs="Arial Narrow"/>
                <w:b/>
                <w:bCs/>
                <w:i w:val="0"/>
                <w:iCs w:val="0"/>
                <w:color w:val="000000"/>
                <w:sz w:val="20"/>
                <w:szCs w:val="20"/>
                <w:u w:val="none"/>
              </w:rPr>
            </w:pPr>
            <w:r>
              <w:rPr>
                <w:rFonts w:hint="default" w:ascii="Arial Narrow" w:hAnsi="Arial Narrow" w:eastAsia="Arial Narrow" w:cs="Arial Narrow"/>
                <w:b/>
                <w:bCs/>
                <w:i w:val="0"/>
                <w:iCs w:val="0"/>
                <w:color w:val="000000"/>
                <w:kern w:val="0"/>
                <w:sz w:val="20"/>
                <w:szCs w:val="20"/>
                <w:u w:val="none"/>
                <w:lang w:val="en-US" w:eastAsia="zh-CN" w:bidi="ar"/>
              </w:rPr>
              <w:t>MONTO FINAL INICIATIVA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3"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CONSULTORÍA</w:t>
            </w:r>
          </w:p>
        </w:tc>
        <w:tc>
          <w:tcPr>
            <w:tcW w:w="2074" w:type="dxa"/>
            <w:tcBorders>
              <w:top w:val="single" w:color="000000" w:sz="2" w:space="0"/>
              <w:left w:val="nil"/>
              <w:bottom w:val="single" w:color="000000" w:sz="2" w:space="0"/>
              <w:right w:val="single" w:color="000000" w:sz="2" w:space="0"/>
            </w:tcBorders>
            <w:shd w:val="clear" w:color="auto" w:fill="FFFFFF"/>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139.395.200</w:t>
            </w:r>
          </w:p>
        </w:tc>
        <w:tc>
          <w:tcPr>
            <w:tcW w:w="1791" w:type="dxa"/>
            <w:tcBorders>
              <w:top w:val="single" w:color="000000" w:sz="2" w:space="0"/>
              <w:left w:val="nil"/>
              <w:bottom w:val="single" w:color="000000" w:sz="2" w:space="0"/>
              <w:right w:val="single" w:color="000000" w:sz="2" w:space="0"/>
            </w:tcBorders>
            <w:shd w:val="clear" w:color="auto" w:fill="FFFFFF"/>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139.395.200</w:t>
            </w:r>
          </w:p>
        </w:tc>
        <w:tc>
          <w:tcPr>
            <w:tcW w:w="1572" w:type="dxa"/>
            <w:tcBorders>
              <w:top w:val="single" w:color="000000" w:sz="2" w:space="0"/>
              <w:left w:val="single" w:color="000000" w:sz="2" w:space="0"/>
              <w:bottom w:val="single" w:color="000000" w:sz="2" w:space="0"/>
              <w:right w:val="single" w:color="000000" w:sz="2" w:space="0"/>
            </w:tcBorders>
            <w:shd w:val="clear" w:color="auto" w:fill="E7E6E6"/>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b/>
                <w:bCs/>
                <w:i w:val="0"/>
                <w:iCs w:val="0"/>
                <w:color w:val="000000"/>
                <w:sz w:val="20"/>
                <w:szCs w:val="20"/>
                <w:highlight w:val="yellow"/>
                <w:u w:val="none"/>
              </w:rPr>
            </w:pPr>
            <w:r>
              <w:rPr>
                <w:rFonts w:hint="default" w:ascii="Arial Narrow" w:hAnsi="Arial Narrow" w:eastAsia="Arial Narrow" w:cs="Arial Narrow"/>
                <w:b/>
                <w:bCs/>
                <w:i w:val="0"/>
                <w:iCs w:val="0"/>
                <w:color w:val="000000"/>
                <w:kern w:val="0"/>
                <w:sz w:val="20"/>
                <w:szCs w:val="20"/>
                <w:highlight w:val="yellow"/>
                <w:u w:val="none"/>
                <w:lang w:val="en-US" w:eastAsia="zh-CN" w:bidi="ar"/>
              </w:rPr>
              <w:t>1.486.195</w:t>
            </w:r>
          </w:p>
        </w:tc>
        <w:tc>
          <w:tcPr>
            <w:tcW w:w="1791" w:type="dxa"/>
            <w:tcBorders>
              <w:top w:val="single" w:color="000000" w:sz="2" w:space="0"/>
              <w:left w:val="single" w:color="000000" w:sz="2" w:space="0"/>
              <w:bottom w:val="single" w:color="000000" w:sz="2" w:space="0"/>
              <w:right w:val="single" w:color="000000" w:sz="8" w:space="0"/>
            </w:tcBorders>
            <w:shd w:val="clear" w:color="auto" w:fill="E7E6E6"/>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140.881.395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3"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pPr>
              <w:keepNext w:val="0"/>
              <w:keepLines w:val="0"/>
              <w:widowControl/>
              <w:suppressLineNumbers w:val="0"/>
              <w:jc w:val="lef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GASTOS ADMINISTRATIVOS</w:t>
            </w:r>
          </w:p>
        </w:tc>
        <w:tc>
          <w:tcPr>
            <w:tcW w:w="2074" w:type="dxa"/>
            <w:tcBorders>
              <w:top w:val="single" w:color="000000" w:sz="2" w:space="0"/>
              <w:left w:val="nil"/>
              <w:bottom w:val="single" w:color="000000" w:sz="2" w:space="0"/>
              <w:right w:val="single" w:color="000000" w:sz="2" w:space="0"/>
            </w:tcBorders>
            <w:shd w:val="clear" w:color="auto" w:fill="FFFFFF"/>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3.697.000</w:t>
            </w:r>
          </w:p>
        </w:tc>
        <w:tc>
          <w:tcPr>
            <w:tcW w:w="1791" w:type="dxa"/>
            <w:tcBorders>
              <w:top w:val="single" w:color="000000" w:sz="2" w:space="0"/>
              <w:left w:val="nil"/>
              <w:bottom w:val="single" w:color="000000" w:sz="2" w:space="0"/>
              <w:right w:val="single" w:color="000000" w:sz="2" w:space="0"/>
            </w:tcBorders>
            <w:shd w:val="clear" w:color="auto" w:fill="FFFFFF"/>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3.697.000</w:t>
            </w:r>
          </w:p>
        </w:tc>
        <w:tc>
          <w:tcPr>
            <w:tcW w:w="1572" w:type="dxa"/>
            <w:tcBorders>
              <w:top w:val="single" w:color="000000" w:sz="2" w:space="0"/>
              <w:left w:val="single" w:color="000000" w:sz="2" w:space="0"/>
              <w:bottom w:val="nil"/>
              <w:right w:val="single" w:color="000000" w:sz="2" w:space="0"/>
            </w:tcBorders>
            <w:shd w:val="clear" w:color="auto" w:fill="E7E6E6"/>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b/>
                <w:bCs/>
                <w:i w:val="0"/>
                <w:iCs w:val="0"/>
                <w:color w:val="000000"/>
                <w:sz w:val="20"/>
                <w:szCs w:val="20"/>
                <w:highlight w:val="yellow"/>
                <w:u w:val="none"/>
              </w:rPr>
            </w:pPr>
            <w:r>
              <w:rPr>
                <w:rFonts w:hint="default" w:ascii="Arial Narrow" w:hAnsi="Arial Narrow" w:eastAsia="Arial Narrow" w:cs="Arial Narrow"/>
                <w:b/>
                <w:bCs/>
                <w:i w:val="0"/>
                <w:iCs w:val="0"/>
                <w:color w:val="000000"/>
                <w:kern w:val="0"/>
                <w:sz w:val="20"/>
                <w:szCs w:val="20"/>
                <w:highlight w:val="yellow"/>
                <w:u w:val="none"/>
                <w:lang w:val="en-US" w:eastAsia="zh-CN" w:bidi="ar"/>
              </w:rPr>
              <w:t>0</w:t>
            </w:r>
          </w:p>
        </w:tc>
        <w:tc>
          <w:tcPr>
            <w:tcW w:w="1791" w:type="dxa"/>
            <w:tcBorders>
              <w:top w:val="single" w:color="000000" w:sz="2" w:space="0"/>
              <w:left w:val="single" w:color="000000" w:sz="2" w:space="0"/>
              <w:bottom w:val="nil"/>
              <w:right w:val="nil"/>
            </w:tcBorders>
            <w:shd w:val="clear" w:color="auto" w:fill="E7E6E6"/>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3.697.000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3"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TOTAL</w:t>
            </w:r>
          </w:p>
        </w:tc>
        <w:tc>
          <w:tcPr>
            <w:tcW w:w="2074"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pPr>
              <w:jc w:val="right"/>
              <w:rPr>
                <w:rFonts w:hint="default" w:ascii="Arial Narrow" w:hAnsi="Arial Narrow" w:eastAsia="Arial Narrow" w:cs="Arial Narrow"/>
                <w:i w:val="0"/>
                <w:iCs w:val="0"/>
                <w:color w:val="000000"/>
                <w:sz w:val="20"/>
                <w:szCs w:val="20"/>
                <w:u w:val="none"/>
              </w:rPr>
            </w:pPr>
          </w:p>
        </w:tc>
        <w:tc>
          <w:tcPr>
            <w:tcW w:w="1791" w:type="dxa"/>
            <w:tcBorders>
              <w:top w:val="single" w:color="000000" w:sz="2" w:space="0"/>
              <w:left w:val="single" w:color="000000" w:sz="2" w:space="0"/>
              <w:bottom w:val="single" w:color="000000" w:sz="2" w:space="0"/>
              <w:right w:val="single" w:color="000000" w:sz="2" w:space="0"/>
            </w:tcBorders>
            <w:shd w:val="clear" w:color="auto" w:fill="FFFFFF"/>
            <w:noWrap/>
            <w:vAlign w:val="center"/>
          </w:tcPr>
          <w:p>
            <w:pPr>
              <w:jc w:val="right"/>
              <w:rPr>
                <w:rFonts w:hint="default" w:ascii="Arial Narrow" w:hAnsi="Arial Narrow" w:eastAsia="Arial Narrow" w:cs="Arial Narrow"/>
                <w:i w:val="0"/>
                <w:iCs w:val="0"/>
                <w:color w:val="000000"/>
                <w:sz w:val="20"/>
                <w:szCs w:val="20"/>
                <w:u w:val="none"/>
              </w:rPr>
            </w:pPr>
          </w:p>
        </w:tc>
        <w:tc>
          <w:tcPr>
            <w:tcW w:w="1572" w:type="dxa"/>
            <w:tcBorders>
              <w:top w:val="single" w:color="000000" w:sz="2" w:space="0"/>
              <w:left w:val="single" w:color="000000" w:sz="2" w:space="0"/>
              <w:bottom w:val="nil"/>
              <w:right w:val="single" w:color="000000" w:sz="2" w:space="0"/>
            </w:tcBorders>
            <w:shd w:val="clear" w:color="auto" w:fill="E7E6E6"/>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b/>
                <w:bCs/>
                <w:i w:val="0"/>
                <w:iCs w:val="0"/>
                <w:color w:val="000000"/>
                <w:sz w:val="20"/>
                <w:szCs w:val="20"/>
                <w:highlight w:val="yellow"/>
                <w:u w:val="none"/>
              </w:rPr>
            </w:pPr>
            <w:r>
              <w:rPr>
                <w:rFonts w:hint="default" w:ascii="Arial Narrow" w:hAnsi="Arial Narrow" w:eastAsia="Arial Narrow" w:cs="Arial Narrow"/>
                <w:b/>
                <w:bCs/>
                <w:i w:val="0"/>
                <w:iCs w:val="0"/>
                <w:color w:val="000000"/>
                <w:kern w:val="0"/>
                <w:sz w:val="20"/>
                <w:szCs w:val="20"/>
                <w:highlight w:val="yellow"/>
                <w:u w:val="none"/>
                <w:lang w:val="en-US" w:eastAsia="zh-CN" w:bidi="ar"/>
              </w:rPr>
              <w:t>1.486.195</w:t>
            </w:r>
          </w:p>
        </w:tc>
        <w:tc>
          <w:tcPr>
            <w:tcW w:w="1791" w:type="dxa"/>
            <w:tcBorders>
              <w:top w:val="single" w:color="000000" w:sz="2" w:space="0"/>
              <w:left w:val="single" w:color="000000" w:sz="2" w:space="0"/>
              <w:bottom w:val="nil"/>
              <w:right w:val="single" w:color="000000" w:sz="2" w:space="0"/>
            </w:tcBorders>
            <w:shd w:val="clear" w:color="auto" w:fill="E7E6E6"/>
            <w:noWrap/>
            <w:vAlign w:val="center"/>
          </w:tcPr>
          <w:p>
            <w:pPr>
              <w:keepNext w:val="0"/>
              <w:keepLines w:val="0"/>
              <w:widowControl/>
              <w:suppressLineNumbers w:val="0"/>
              <w:ind w:firstLineChars="200"/>
              <w:jc w:val="right"/>
              <w:textAlignment w:val="center"/>
              <w:rPr>
                <w:rFonts w:hint="default" w:ascii="Arial Narrow" w:hAnsi="Arial Narrow" w:eastAsia="Arial Narrow" w:cs="Arial Narrow"/>
                <w:b/>
                <w:bCs/>
                <w:i w:val="0"/>
                <w:iCs w:val="0"/>
                <w:color w:val="000000"/>
                <w:sz w:val="20"/>
                <w:szCs w:val="20"/>
                <w:u w:val="none"/>
              </w:rPr>
            </w:pPr>
            <w:r>
              <w:rPr>
                <w:rFonts w:hint="default" w:ascii="Arial Narrow" w:hAnsi="Arial Narrow" w:eastAsia="Arial Narrow" w:cs="Arial Narrow"/>
                <w:b/>
                <w:bCs/>
                <w:i w:val="0"/>
                <w:iCs w:val="0"/>
                <w:color w:val="000000"/>
                <w:kern w:val="0"/>
                <w:sz w:val="20"/>
                <w:szCs w:val="20"/>
                <w:u w:val="none"/>
                <w:lang w:val="en-US" w:eastAsia="zh-CN" w:bidi="ar"/>
              </w:rPr>
              <w:t>144.578.395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13" w:type="dxa"/>
            <w:tcBorders>
              <w:top w:val="nil"/>
              <w:left w:val="nil"/>
              <w:bottom w:val="nil"/>
              <w:right w:val="nil"/>
            </w:tcBorders>
            <w:shd w:val="clear" w:color="auto" w:fill="FFFFFF"/>
            <w:noWrap/>
            <w:vAlign w:val="center"/>
          </w:tcPr>
          <w:p>
            <w:pPr>
              <w:jc w:val="center"/>
              <w:rPr>
                <w:rFonts w:hint="default" w:ascii="Arial Narrow" w:hAnsi="Arial Narrow" w:eastAsia="Arial Narrow" w:cs="Arial Narrow"/>
                <w:i w:val="0"/>
                <w:iCs w:val="0"/>
                <w:color w:val="000000"/>
                <w:sz w:val="20"/>
                <w:szCs w:val="20"/>
                <w:u w:val="none"/>
              </w:rPr>
            </w:pPr>
          </w:p>
        </w:tc>
        <w:tc>
          <w:tcPr>
            <w:tcW w:w="2074" w:type="dxa"/>
            <w:tcBorders>
              <w:top w:val="nil"/>
              <w:left w:val="nil"/>
              <w:bottom w:val="nil"/>
              <w:right w:val="nil"/>
            </w:tcBorders>
            <w:shd w:val="clear" w:color="auto" w:fill="FFFFFF"/>
            <w:noWrap/>
            <w:vAlign w:val="center"/>
          </w:tcPr>
          <w:p>
            <w:pPr>
              <w:jc w:val="right"/>
              <w:rPr>
                <w:rFonts w:hint="default" w:ascii="Arial Narrow" w:hAnsi="Arial Narrow" w:eastAsia="Arial Narrow" w:cs="Arial Narrow"/>
                <w:i w:val="0"/>
                <w:iCs w:val="0"/>
                <w:color w:val="000000"/>
                <w:sz w:val="20"/>
                <w:szCs w:val="20"/>
                <w:u w:val="none"/>
              </w:rPr>
            </w:pPr>
          </w:p>
        </w:tc>
        <w:tc>
          <w:tcPr>
            <w:tcW w:w="5154" w:type="dxa"/>
            <w:gridSpan w:val="3"/>
            <w:tcBorders>
              <w:top w:val="single" w:color="000000" w:sz="8" w:space="0"/>
              <w:left w:val="single" w:color="000000" w:sz="8" w:space="0"/>
              <w:bottom w:val="single" w:color="000000" w:sz="8" w:space="0"/>
              <w:right w:val="single" w:color="000000" w:sz="8" w:space="0"/>
            </w:tcBorders>
            <w:shd w:val="clear" w:color="auto" w:fill="E7E6E6"/>
            <w:noWrap/>
            <w:vAlign w:val="center"/>
          </w:tcPr>
          <w:p>
            <w:pPr>
              <w:keepNext w:val="0"/>
              <w:keepLines w:val="0"/>
              <w:widowControl/>
              <w:suppressLineNumbers w:val="0"/>
              <w:jc w:val="center"/>
              <w:textAlignment w:val="center"/>
              <w:rPr>
                <w:rFonts w:hint="default" w:ascii="Arial Narrow" w:hAnsi="Arial Narrow" w:eastAsia="Arial Narrow" w:cs="Arial Narrow"/>
                <w:b/>
                <w:bCs/>
                <w:i w:val="0"/>
                <w:iCs w:val="0"/>
                <w:color w:val="000000"/>
                <w:sz w:val="20"/>
                <w:szCs w:val="20"/>
                <w:highlight w:val="yellow"/>
                <w:u w:val="none"/>
              </w:rPr>
            </w:pPr>
            <w:r>
              <w:rPr>
                <w:rFonts w:hint="default" w:ascii="Arial Narrow" w:hAnsi="Arial Narrow" w:eastAsia="Arial Narrow" w:cs="Arial Narrow"/>
                <w:b/>
                <w:bCs/>
                <w:i w:val="0"/>
                <w:iCs w:val="0"/>
                <w:color w:val="000000"/>
                <w:kern w:val="0"/>
                <w:sz w:val="20"/>
                <w:szCs w:val="20"/>
                <w:highlight w:val="yellow"/>
                <w:u w:val="none"/>
                <w:lang w:val="en-US" w:eastAsia="zh-CN" w:bidi="ar"/>
              </w:rPr>
              <w:t>SINTESIS PARA CERTIFICADO CORE</w:t>
            </w:r>
          </w:p>
        </w:tc>
      </w:tr>
    </w:tbl>
    <w:p>
      <w:pPr>
        <w:pStyle w:val="9"/>
        <w:spacing w:line="276" w:lineRule="auto"/>
        <w:ind w:left="1410" w:firstLine="0" w:firstLineChars="0"/>
        <w:jc w:val="both"/>
        <w:rPr>
          <w:rFonts w:hint="default"/>
          <w:b w:val="0"/>
          <w:sz w:val="20"/>
        </w:rPr>
      </w:pP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p>
    <w:p>
      <w:pPr>
        <w:pStyle w:val="9"/>
        <w:spacing w:line="276" w:lineRule="auto"/>
        <w:ind w:left="1410" w:firstLine="0" w:firstLineChars="0"/>
        <w:jc w:val="both"/>
        <w:rPr>
          <w:rFonts w:hint="default"/>
          <w:b w:val="0"/>
          <w:sz w:val="20"/>
        </w:rPr>
      </w:pPr>
      <w:r>
        <w:rPr>
          <w:rFonts w:hint="default"/>
          <w:b w:val="0"/>
          <w:sz w:val="20"/>
          <w:lang w:val="es-MX"/>
        </w:rPr>
        <w:t>Por tanto, el aumento solicitado asciende a la suma de $ 1.486.195</w:t>
      </w:r>
      <w:r>
        <w:rPr>
          <w:rFonts w:hint="default"/>
          <w:b w:val="0"/>
          <w:sz w:val="20"/>
        </w:rPr>
        <w:tab/>
      </w:r>
    </w:p>
    <w:p>
      <w:pPr>
        <w:pStyle w:val="8"/>
        <w:keepNext w:val="0"/>
        <w:keepLines w:val="0"/>
        <w:widowControl/>
        <w:suppressLineNumbers w:val="0"/>
        <w:rPr>
          <w:rFonts w:hint="default" w:ascii="Verdana" w:hAnsi="Verdana" w:cs="Verdana"/>
          <w:b/>
          <w:bCs/>
          <w:sz w:val="20"/>
          <w:szCs w:val="20"/>
          <w:lang w:val="es-MX"/>
        </w:rPr>
      </w:pPr>
      <w:r>
        <w:rPr>
          <w:rFonts w:hint="default"/>
          <w:b w:val="0"/>
          <w:sz w:val="20"/>
        </w:rPr>
        <w:tab/>
      </w:r>
      <w:r>
        <w:rPr>
          <w:rFonts w:hint="default" w:ascii="Verdana" w:hAnsi="Verdana" w:cs="Verdana"/>
          <w:b/>
          <w:bCs/>
          <w:sz w:val="20"/>
          <w:szCs w:val="20"/>
          <w:lang w:val="es-MX"/>
        </w:rPr>
        <w:t xml:space="preserve">Votación: se recomienda en forma unánime para ser presentado al </w:t>
      </w:r>
      <w:r>
        <w:rPr>
          <w:rFonts w:hint="default" w:ascii="Verdana" w:hAnsi="Verdana" w:cs="Verdana"/>
          <w:b/>
          <w:bCs/>
          <w:sz w:val="20"/>
          <w:szCs w:val="20"/>
          <w:lang w:val="es-MX"/>
        </w:rPr>
        <w:tab/>
      </w:r>
      <w:r>
        <w:rPr>
          <w:rFonts w:hint="default" w:ascii="Verdana" w:hAnsi="Verdana" w:cs="Verdana"/>
          <w:b/>
          <w:bCs/>
          <w:sz w:val="20"/>
          <w:szCs w:val="20"/>
          <w:lang w:val="es-MX"/>
        </w:rPr>
        <w:t>pleno del consejo</w:t>
      </w:r>
    </w:p>
    <w:p>
      <w:pPr>
        <w:pStyle w:val="9"/>
        <w:spacing w:line="276" w:lineRule="auto"/>
        <w:ind w:left="1410" w:firstLine="0" w:firstLineChars="0"/>
        <w:jc w:val="both"/>
        <w:rPr>
          <w:rFonts w:hint="default"/>
          <w:b w:val="0"/>
          <w:sz w:val="20"/>
        </w:rPr>
      </w:pP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p>
    <w:p>
      <w:pPr>
        <w:pStyle w:val="9"/>
        <w:spacing w:line="276" w:lineRule="auto"/>
        <w:ind w:left="1410" w:firstLine="0" w:firstLineChars="0"/>
        <w:jc w:val="both"/>
        <w:rPr>
          <w:rFonts w:hint="default"/>
          <w:b w:val="0"/>
          <w:sz w:val="20"/>
        </w:rPr>
      </w:pP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p>
    <w:p>
      <w:pPr>
        <w:pStyle w:val="9"/>
        <w:spacing w:line="276" w:lineRule="auto"/>
        <w:ind w:left="1410" w:hanging="1410"/>
        <w:jc w:val="both"/>
        <w:rPr>
          <w:rFonts w:hint="default"/>
          <w:b w:val="0"/>
          <w:sz w:val="20"/>
        </w:rPr>
      </w:pP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p>
    <w:p>
      <w:pPr>
        <w:pStyle w:val="9"/>
        <w:spacing w:line="276" w:lineRule="auto"/>
        <w:ind w:left="1410" w:hanging="1410"/>
        <w:jc w:val="both"/>
        <w:rPr>
          <w:rFonts w:cstheme="minorHAnsi"/>
          <w:b w:val="0"/>
          <w:sz w:val="20"/>
        </w:rPr>
      </w:pP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r>
        <w:rPr>
          <w:rFonts w:hint="default"/>
          <w:b w:val="0"/>
          <w:sz w:val="20"/>
        </w:rPr>
        <w:tab/>
      </w: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val="0"/>
          <w:sz w:val="20"/>
        </w:rPr>
      </w:pPr>
    </w:p>
    <w:p>
      <w:pPr>
        <w:pStyle w:val="9"/>
        <w:spacing w:line="276" w:lineRule="auto"/>
        <w:ind w:left="1410" w:hanging="1410"/>
        <w:jc w:val="both"/>
        <w:rPr>
          <w:rFonts w:cstheme="minorHAnsi"/>
          <w:b/>
          <w:bCs/>
          <w:sz w:val="20"/>
        </w:rPr>
      </w:pPr>
      <w:r>
        <w:rPr>
          <w:rFonts w:cstheme="minorHAnsi"/>
          <w:b/>
          <w:bCs/>
          <w:sz w:val="20"/>
        </w:rPr>
        <w:t>12.30 hrs.</w:t>
      </w:r>
      <w:r>
        <w:rPr>
          <w:rFonts w:cstheme="minorHAnsi"/>
          <w:b/>
          <w:bCs/>
          <w:sz w:val="20"/>
        </w:rPr>
        <w:tab/>
      </w:r>
      <w:r>
        <w:rPr>
          <w:rFonts w:cstheme="minorHAnsi"/>
          <w:b/>
          <w:bCs/>
          <w:sz w:val="20"/>
        </w:rPr>
        <w:t>Presentación, análisis y resolución ratificar incorporación y modificación presupuestaria en proyecto “Adquisición Terreno para Fines Habitacionales, comuna de Lago Ranco”.</w:t>
      </w:r>
    </w:p>
    <w:p>
      <w:pPr>
        <w:pStyle w:val="9"/>
        <w:spacing w:line="276" w:lineRule="auto"/>
        <w:ind w:left="1410" w:hanging="1410"/>
        <w:jc w:val="both"/>
        <w:rPr>
          <w:rFonts w:cstheme="minorHAnsi"/>
          <w:b/>
          <w:bCs/>
          <w:sz w:val="20"/>
        </w:rPr>
      </w:pPr>
      <w:r>
        <w:rPr>
          <w:rFonts w:cstheme="minorHAnsi"/>
          <w:b/>
          <w:bCs/>
          <w:sz w:val="20"/>
        </w:rPr>
        <w:tab/>
      </w:r>
      <w:r>
        <w:rPr>
          <w:rFonts w:cstheme="minorHAnsi"/>
          <w:b/>
          <w:bCs/>
          <w:sz w:val="20"/>
        </w:rPr>
        <w:t>Expone: Bruno Burgos/ Jefe DPIR.</w:t>
      </w:r>
    </w:p>
    <w:p>
      <w:pPr>
        <w:pStyle w:val="9"/>
        <w:ind w:left="0" w:firstLine="0"/>
        <w:jc w:val="both"/>
        <w:rPr>
          <w:rFonts w:cstheme="minorHAnsi"/>
          <w:sz w:val="20"/>
          <w:u w:val="single"/>
        </w:rPr>
      </w:pPr>
    </w:p>
    <w:p>
      <w:pPr>
        <w:pStyle w:val="9"/>
        <w:ind w:left="0" w:firstLine="0"/>
        <w:jc w:val="both"/>
        <w:rPr>
          <w:rFonts w:cstheme="minorHAnsi"/>
          <w:sz w:val="20"/>
          <w:u w:val="single"/>
        </w:rPr>
      </w:pPr>
    </w:p>
    <w:p>
      <w:pPr>
        <w:pStyle w:val="9"/>
        <w:ind w:left="0" w:firstLine="0"/>
        <w:jc w:val="both"/>
        <w:rPr>
          <w:rFonts w:hint="default" w:ascii="Verdana" w:hAnsi="Verdana" w:cs="Verdana"/>
          <w:b w:val="0"/>
          <w:bCs/>
          <w:sz w:val="20"/>
          <w:szCs w:val="20"/>
          <w:u w:val="none"/>
          <w:lang w:val="es-MX"/>
        </w:rPr>
      </w:pPr>
      <w:r>
        <w:rPr>
          <w:rFonts w:hint="default" w:ascii="Verdana" w:hAnsi="Verdana" w:cs="Verdana"/>
          <w:b w:val="0"/>
          <w:bCs/>
          <w:sz w:val="20"/>
          <w:szCs w:val="20"/>
          <w:u w:val="none"/>
          <w:lang w:val="es-MX"/>
        </w:rPr>
        <w:t>Se señala que e</w:t>
      </w:r>
      <w:r>
        <w:rPr>
          <w:rFonts w:hint="default" w:ascii="Verdana" w:hAnsi="Verdana" w:eastAsia="SimSun" w:cs="Verdana"/>
          <w:b w:val="0"/>
          <w:bCs/>
          <w:sz w:val="20"/>
          <w:szCs w:val="20"/>
        </w:rPr>
        <w:t>l costo del terreno según carta oferta ingresada a SERVIU Los Ríos es de 0,7306 UF por m2, equivalente a un total de 48.648 UF, lo que corresponde a un valor de $1.754.507.146,8 (valor UF del 24.07.2023, fecha de carta oferta). Dada la variación del valor UF y los gastos administrativos propios de la gestión de compra donde se considera la contratación de tasadores externos para disponer de tres informes de tasación más informe de tasación SERVIU, gastos en notaria y Conservador de Bienes Raíces; es necesario disponer de un monto aproximado de $1.813.756.927 pesos calculado con un valor UF proyectada de $37.236 pesos</w:t>
      </w:r>
    </w:p>
    <w:p>
      <w:pPr>
        <w:pStyle w:val="9"/>
        <w:ind w:left="0" w:firstLine="0"/>
        <w:jc w:val="both"/>
        <w:rPr>
          <w:rFonts w:cstheme="minorHAnsi"/>
          <w:sz w:val="20"/>
          <w:u w:val="single"/>
        </w:rPr>
      </w:pPr>
    </w:p>
    <w:p>
      <w:pPr>
        <w:pStyle w:val="9"/>
        <w:ind w:left="0" w:firstLine="0"/>
        <w:jc w:val="both"/>
        <w:rPr>
          <w:rFonts w:hint="default" w:ascii="Verdana" w:hAnsi="Verdana" w:cs="Verdana"/>
          <w:b w:val="0"/>
          <w:bCs/>
          <w:sz w:val="20"/>
          <w:szCs w:val="20"/>
          <w:u w:val="none"/>
          <w:lang w:val="es-MX"/>
        </w:rPr>
      </w:pPr>
      <w:r>
        <w:rPr>
          <w:rFonts w:hint="default" w:ascii="Verdana" w:hAnsi="Verdana" w:cs="Verdana"/>
          <w:b w:val="0"/>
          <w:bCs/>
          <w:sz w:val="20"/>
          <w:szCs w:val="20"/>
          <w:u w:val="none"/>
          <w:lang w:val="es-MX"/>
        </w:rPr>
        <w:t>Por tanto, s</w:t>
      </w:r>
      <w:r>
        <w:rPr>
          <w:rFonts w:hint="default" w:ascii="Verdana" w:hAnsi="Verdana" w:eastAsia="SimSun" w:cs="Verdana"/>
          <w:b w:val="0"/>
          <w:bCs/>
          <w:sz w:val="20"/>
          <w:szCs w:val="20"/>
        </w:rPr>
        <w:t>e solicita el acuerdo del Consejo Regional para la ratificación de incorporación de esta iniciativa por $1.813.756.927 y la correspondiente modificación a la distribución Inicial año 2024 y sus Modificaciones del presupuesto del Programa de Inversión Regional, en la forma que corresponda.</w:t>
      </w:r>
    </w:p>
    <w:p>
      <w:pPr>
        <w:pStyle w:val="9"/>
        <w:ind w:left="0" w:firstLine="0"/>
        <w:jc w:val="both"/>
        <w:rPr>
          <w:rFonts w:cstheme="minorHAnsi"/>
          <w:sz w:val="20"/>
          <w:u w:val="single"/>
        </w:rPr>
      </w:pPr>
    </w:p>
    <w:p>
      <w:pPr>
        <w:pStyle w:val="8"/>
        <w:keepNext w:val="0"/>
        <w:keepLines w:val="0"/>
        <w:widowControl/>
        <w:suppressLineNumbers w:val="0"/>
        <w:rPr>
          <w:rFonts w:hint="default" w:ascii="Verdana" w:hAnsi="Verdana" w:cs="Verdana"/>
          <w:b/>
          <w:bCs/>
          <w:sz w:val="20"/>
          <w:szCs w:val="20"/>
          <w:lang w:val="es-MX"/>
        </w:rPr>
      </w:pPr>
      <w:r>
        <w:rPr>
          <w:rFonts w:hint="default"/>
          <w:b w:val="0"/>
          <w:sz w:val="20"/>
        </w:rPr>
        <w:tab/>
      </w:r>
      <w:r>
        <w:rPr>
          <w:rFonts w:hint="default" w:ascii="Verdana" w:hAnsi="Verdana" w:cs="Verdana"/>
          <w:b/>
          <w:bCs/>
          <w:sz w:val="20"/>
          <w:szCs w:val="20"/>
          <w:lang w:val="es-MX"/>
        </w:rPr>
        <w:t xml:space="preserve">Votación: se recomienda en forma unánime para ser presentado al </w:t>
      </w:r>
      <w:r>
        <w:rPr>
          <w:rFonts w:hint="default" w:ascii="Verdana" w:hAnsi="Verdana" w:cs="Verdana"/>
          <w:b/>
          <w:bCs/>
          <w:sz w:val="20"/>
          <w:szCs w:val="20"/>
          <w:lang w:val="es-MX"/>
        </w:rPr>
        <w:tab/>
      </w:r>
      <w:r>
        <w:rPr>
          <w:rFonts w:hint="default" w:ascii="Verdana" w:hAnsi="Verdana" w:cs="Verdana"/>
          <w:b/>
          <w:bCs/>
          <w:sz w:val="20"/>
          <w:szCs w:val="20"/>
          <w:lang w:val="es-MX"/>
        </w:rPr>
        <w:t>pleno del consejo</w:t>
      </w:r>
    </w:p>
    <w:p>
      <w:pPr>
        <w:pStyle w:val="9"/>
        <w:ind w:left="0" w:firstLine="0"/>
        <w:jc w:val="both"/>
        <w:rPr>
          <w:rFonts w:cstheme="minorHAnsi"/>
          <w:sz w:val="20"/>
          <w:u w:val="single"/>
        </w:rPr>
      </w:pPr>
    </w:p>
    <w:p>
      <w:pPr>
        <w:pStyle w:val="9"/>
        <w:ind w:left="0" w:firstLine="0"/>
        <w:jc w:val="both"/>
        <w:rPr>
          <w:rFonts w:cstheme="minorHAnsi"/>
          <w:sz w:val="20"/>
          <w:u w:val="single"/>
        </w:rPr>
      </w:pPr>
    </w:p>
    <w:p>
      <w:pPr>
        <w:pStyle w:val="9"/>
        <w:ind w:left="0" w:firstLine="0"/>
        <w:jc w:val="both"/>
        <w:rPr>
          <w:rFonts w:cstheme="minorHAnsi"/>
          <w:sz w:val="20"/>
          <w:u w:val="single"/>
        </w:rPr>
      </w:pPr>
    </w:p>
    <w:p/>
    <w:sectPr>
      <w:headerReference r:id="rId5" w:type="default"/>
      <w:pgSz w:w="12242" w:h="18722"/>
      <w:pgMar w:top="1560" w:right="1701" w:bottom="709"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auto"/>
    <w:pitch w:val="default"/>
    <w:sig w:usb0="800001E3" w:usb1="1200FFEF" w:usb2="00040000" w:usb3="04000000" w:csb0="00000001" w:csb1="40000000"/>
  </w:font>
  <w:font w:name="Arial Narrow">
    <w:panose1 w:val="020B0606020202030204"/>
    <w:charset w:val="00"/>
    <w:family w:val="auto"/>
    <w:pitch w:val="default"/>
    <w:sig w:usb0="00000287" w:usb1="000008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Century Gothic" w:hAnsi="Century Gothic" w:cs="Arial"/>
        <w:b/>
        <w:sz w:val="19"/>
        <w:szCs w:val="19"/>
        <w:lang w:val="en-US" w:eastAsia="en-US"/>
      </w:rPr>
      <w:drawing>
        <wp:anchor distT="0" distB="0" distL="114300" distR="114300" simplePos="0" relativeHeight="251659264" behindDoc="0" locked="0" layoutInCell="1" allowOverlap="1">
          <wp:simplePos x="0" y="0"/>
          <wp:positionH relativeFrom="margin">
            <wp:posOffset>-394970</wp:posOffset>
          </wp:positionH>
          <wp:positionV relativeFrom="topMargin">
            <wp:posOffset>238760</wp:posOffset>
          </wp:positionV>
          <wp:extent cx="1357630" cy="957580"/>
          <wp:effectExtent l="0" t="0" r="0" b="0"/>
          <wp:wrapSquare wrapText="bothSides"/>
          <wp:docPr id="2" name="Imagen 2" descr="C:\Users\ymendez\Desktop\logo - core-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ymendez\Desktop\logo - core- gran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7630" cy="957580"/>
                  </a:xfrm>
                  <a:prstGeom prst="rect">
                    <a:avLst/>
                  </a:prstGeom>
                  <a:noFill/>
                  <a:ln>
                    <a:noFill/>
                  </a:ln>
                </pic:spPr>
              </pic:pic>
            </a:graphicData>
          </a:graphic>
        </wp:anchor>
      </w:drawing>
    </w:r>
  </w:p>
  <w:p>
    <w:pPr>
      <w:pStyle w:val="6"/>
    </w:pPr>
  </w:p>
  <w:p>
    <w:pPr>
      <w:pStyle w:val="6"/>
    </w:pPr>
  </w:p>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02"/>
    <w:rsid w:val="0008225F"/>
    <w:rsid w:val="000E2768"/>
    <w:rsid w:val="000F0649"/>
    <w:rsid w:val="00131F9A"/>
    <w:rsid w:val="00140E94"/>
    <w:rsid w:val="0019780C"/>
    <w:rsid w:val="001D0C79"/>
    <w:rsid w:val="001E0D73"/>
    <w:rsid w:val="00222264"/>
    <w:rsid w:val="002646E7"/>
    <w:rsid w:val="00351E4F"/>
    <w:rsid w:val="00370E02"/>
    <w:rsid w:val="00440DC4"/>
    <w:rsid w:val="00454241"/>
    <w:rsid w:val="00456A0F"/>
    <w:rsid w:val="004F7313"/>
    <w:rsid w:val="005244EC"/>
    <w:rsid w:val="005A490D"/>
    <w:rsid w:val="005E40F5"/>
    <w:rsid w:val="00682C5C"/>
    <w:rsid w:val="0071096C"/>
    <w:rsid w:val="0071730F"/>
    <w:rsid w:val="00750EEA"/>
    <w:rsid w:val="0075365E"/>
    <w:rsid w:val="00854B58"/>
    <w:rsid w:val="008563C9"/>
    <w:rsid w:val="00896677"/>
    <w:rsid w:val="00897950"/>
    <w:rsid w:val="00910205"/>
    <w:rsid w:val="009104C7"/>
    <w:rsid w:val="009122C3"/>
    <w:rsid w:val="0095520C"/>
    <w:rsid w:val="00957B62"/>
    <w:rsid w:val="00A06C33"/>
    <w:rsid w:val="00A80031"/>
    <w:rsid w:val="00AA5CD5"/>
    <w:rsid w:val="00AD3075"/>
    <w:rsid w:val="00B34A37"/>
    <w:rsid w:val="00B77F2B"/>
    <w:rsid w:val="00B96B1C"/>
    <w:rsid w:val="00C70357"/>
    <w:rsid w:val="00C716B6"/>
    <w:rsid w:val="00C72EF8"/>
    <w:rsid w:val="00CB1D21"/>
    <w:rsid w:val="00DC35F3"/>
    <w:rsid w:val="00E341C5"/>
    <w:rsid w:val="00E4047B"/>
    <w:rsid w:val="00EA4373"/>
    <w:rsid w:val="00F35AA1"/>
    <w:rsid w:val="00F55F59"/>
    <w:rsid w:val="00F94FC6"/>
    <w:rsid w:val="029545F8"/>
    <w:rsid w:val="033D263C"/>
    <w:rsid w:val="0DB05806"/>
    <w:rsid w:val="10957A96"/>
    <w:rsid w:val="20D572DA"/>
    <w:rsid w:val="33C87C45"/>
    <w:rsid w:val="390C6C8C"/>
    <w:rsid w:val="437206ED"/>
    <w:rsid w:val="47F8791E"/>
    <w:rsid w:val="4A583F1E"/>
    <w:rsid w:val="5BBC4B8E"/>
    <w:rsid w:val="61D36FB9"/>
    <w:rsid w:val="6F3C2DE7"/>
    <w:rsid w:val="732854ED"/>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2"/>
    <w:basedOn w:val="1"/>
    <w:next w:val="1"/>
    <w:link w:val="14"/>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0" w:type="dxa"/>
        <w:bottom w:w="0" w:type="dxa"/>
        <w:right w:w="100" w:type="dxa"/>
      </w:tblCellMar>
    </w:tblPr>
  </w:style>
  <w:style w:type="paragraph" w:styleId="5">
    <w:name w:val="Balloon Text"/>
    <w:basedOn w:val="1"/>
    <w:link w:val="15"/>
    <w:semiHidden/>
    <w:unhideWhenUsed/>
    <w:uiPriority w:val="99"/>
    <w:rPr>
      <w:rFonts w:ascii="Segoe UI" w:hAnsi="Segoe UI" w:cs="Segoe UI"/>
      <w:sz w:val="18"/>
      <w:szCs w:val="18"/>
    </w:rPr>
  </w:style>
  <w:style w:type="paragraph" w:styleId="6">
    <w:name w:val="header"/>
    <w:basedOn w:val="1"/>
    <w:link w:val="13"/>
    <w:unhideWhenUsed/>
    <w:uiPriority w:val="99"/>
    <w:pPr>
      <w:tabs>
        <w:tab w:val="center" w:pos="4419"/>
        <w:tab w:val="right" w:pos="8838"/>
      </w:tabs>
    </w:pPr>
  </w:style>
  <w:style w:type="paragraph" w:styleId="7">
    <w:name w:val="Body Text Indent"/>
    <w:basedOn w:val="1"/>
    <w:link w:val="12"/>
    <w:semiHidden/>
    <w:unhideWhenUsed/>
    <w:uiPriority w:val="99"/>
    <w:pPr>
      <w:spacing w:after="120"/>
      <w:ind w:left="283"/>
    </w:pPr>
  </w:style>
  <w:style w:type="paragraph" w:styleId="8">
    <w:name w:val="Normal (Web)"/>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
    <w:name w:val="Body Text Indent 2"/>
    <w:basedOn w:val="1"/>
    <w:link w:val="11"/>
    <w:uiPriority w:val="0"/>
    <w:pPr>
      <w:ind w:left="709" w:hanging="709"/>
    </w:pPr>
    <w:rPr>
      <w:rFonts w:ascii="Verdana" w:hAnsi="Verdana"/>
      <w:b/>
      <w:szCs w:val="20"/>
    </w:rPr>
  </w:style>
  <w:style w:type="table" w:styleId="10">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Sangría 2 de t. independiente Car"/>
    <w:basedOn w:val="3"/>
    <w:link w:val="9"/>
    <w:uiPriority w:val="0"/>
    <w:rPr>
      <w:rFonts w:ascii="Verdana" w:hAnsi="Verdana" w:eastAsia="Times New Roman" w:cs="Times New Roman"/>
      <w:b/>
      <w:sz w:val="24"/>
      <w:szCs w:val="20"/>
      <w:lang w:val="es-ES" w:eastAsia="es-ES"/>
    </w:rPr>
  </w:style>
  <w:style w:type="character" w:customStyle="1" w:styleId="12">
    <w:name w:val="Sangría de texto normal Car"/>
    <w:basedOn w:val="3"/>
    <w:link w:val="7"/>
    <w:semiHidden/>
    <w:uiPriority w:val="99"/>
    <w:rPr>
      <w:rFonts w:ascii="Times New Roman" w:hAnsi="Times New Roman" w:eastAsia="Times New Roman" w:cs="Times New Roman"/>
      <w:sz w:val="24"/>
      <w:szCs w:val="24"/>
      <w:lang w:val="es-ES" w:eastAsia="es-ES"/>
    </w:rPr>
  </w:style>
  <w:style w:type="character" w:customStyle="1" w:styleId="13">
    <w:name w:val="Encabezado Car"/>
    <w:basedOn w:val="3"/>
    <w:link w:val="6"/>
    <w:uiPriority w:val="99"/>
    <w:rPr>
      <w:rFonts w:ascii="Times New Roman" w:hAnsi="Times New Roman" w:eastAsia="Times New Roman" w:cs="Times New Roman"/>
      <w:sz w:val="24"/>
      <w:szCs w:val="24"/>
      <w:lang w:val="es-ES" w:eastAsia="es-ES"/>
    </w:rPr>
  </w:style>
  <w:style w:type="character" w:customStyle="1" w:styleId="14">
    <w:name w:val="Título 2 Car"/>
    <w:basedOn w:val="3"/>
    <w:link w:val="2"/>
    <w:qFormat/>
    <w:uiPriority w:val="9"/>
    <w:rPr>
      <w:rFonts w:asciiTheme="majorHAnsi" w:hAnsiTheme="majorHAnsi" w:eastAsiaTheme="majorEastAsia" w:cstheme="majorBidi"/>
      <w:color w:val="2F5597" w:themeColor="accent1" w:themeShade="BF"/>
      <w:sz w:val="26"/>
      <w:szCs w:val="26"/>
      <w:lang w:val="es-ES" w:eastAsia="es-ES"/>
    </w:rPr>
  </w:style>
  <w:style w:type="character" w:customStyle="1" w:styleId="15">
    <w:name w:val="Texto de globo Car"/>
    <w:basedOn w:val="3"/>
    <w:link w:val="5"/>
    <w:semiHidden/>
    <w:qFormat/>
    <w:uiPriority w:val="99"/>
    <w:rPr>
      <w:rFonts w:ascii="Segoe UI" w:hAnsi="Segoe UI" w:eastAsia="Times New Roman" w:cs="Segoe UI"/>
      <w:sz w:val="18"/>
      <w:szCs w:val="18"/>
      <w:lang w:val="es-ES" w:eastAsia="es-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1355</Words>
  <Characters>7458</Characters>
  <Lines>62</Lines>
  <Paragraphs>17</Paragraphs>
  <TotalTime>24</TotalTime>
  <ScaleCrop>false</ScaleCrop>
  <LinksUpToDate>false</LinksUpToDate>
  <CharactersWithSpaces>8796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2024-04-05T12:53:00Z</dcterms:created>
  <dc:creator>Ivan Madariaga</dc:creator>
  <cp:lastModifiedBy>fpichaud</cp:lastModifiedBy>
  <cp:lastPrinted>2024-04-05T15:54:00Z</cp:lastPrinted>
  <dcterms:modified xsi:type="dcterms:W3CDTF">2024-04-10T15:38:15Z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C75E277ED336488C9088C1D697140AC8_13</vt:lpwstr>
  </property>
</Properties>
</file>