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AF1" w:rsidRPr="00B47AF1" w:rsidRDefault="00B47AF1" w:rsidP="00B47AF1">
      <w:pPr>
        <w:jc w:val="center"/>
        <w:rPr>
          <w:rFonts w:ascii="Microsoft JhengHei Light" w:eastAsia="Microsoft JhengHei Light" w:hAnsi="Microsoft JhengHei Light" w:cs="Times New Roman"/>
          <w:sz w:val="20"/>
          <w:szCs w:val="20"/>
          <w:lang w:val="es-MX"/>
        </w:rPr>
      </w:pPr>
      <w:r w:rsidRPr="00B47AF1">
        <w:rPr>
          <w:rFonts w:ascii="Microsoft JhengHei Light" w:eastAsia="Microsoft JhengHei Light" w:hAnsi="Microsoft JhengHei Light" w:cs="Times New Roman"/>
          <w:b/>
          <w:sz w:val="20"/>
          <w:szCs w:val="20"/>
          <w:lang w:val="es-MX"/>
        </w:rPr>
        <w:t xml:space="preserve">COMISIÓN DE </w:t>
      </w:r>
      <w:r>
        <w:rPr>
          <w:rFonts w:ascii="Microsoft JhengHei Light" w:eastAsia="Microsoft JhengHei Light" w:hAnsi="Microsoft JhengHei Light" w:cs="Times New Roman"/>
          <w:b/>
          <w:sz w:val="20"/>
          <w:szCs w:val="20"/>
          <w:lang w:val="es-MX"/>
        </w:rPr>
        <w:t>MEDIO AMBIENTE</w:t>
      </w:r>
    </w:p>
    <w:p w:rsidR="00B47AF1" w:rsidRPr="00B47AF1" w:rsidRDefault="00B47AF1" w:rsidP="00B47AF1">
      <w:pPr>
        <w:jc w:val="center"/>
        <w:rPr>
          <w:rFonts w:ascii="Microsoft JhengHei Light" w:eastAsia="Microsoft JhengHei Light" w:hAnsi="Microsoft JhengHei Light" w:cs="Times New Roman"/>
          <w:b/>
          <w:sz w:val="20"/>
          <w:szCs w:val="20"/>
          <w:lang w:val="es-MX"/>
        </w:rPr>
      </w:pPr>
      <w:r w:rsidRPr="00B47AF1">
        <w:rPr>
          <w:rFonts w:ascii="Microsoft JhengHei Light" w:eastAsia="Microsoft JhengHei Light" w:hAnsi="Microsoft JhengHei Light" w:cs="Times New Roman"/>
          <w:b/>
          <w:sz w:val="20"/>
          <w:szCs w:val="20"/>
          <w:lang w:val="es-MX"/>
        </w:rPr>
        <w:t xml:space="preserve">PRESENTACIÓN Y ANÁLISIS BASES TÉCNICAS Y ADMINISTRATIVAS CONCURSO 2024, </w:t>
      </w:r>
      <w:r w:rsidRPr="00B47AF1">
        <w:rPr>
          <w:rFonts w:ascii="Microsoft JhengHei Light" w:eastAsia="Microsoft JhengHei Light" w:hAnsi="Microsoft JhengHei Light" w:cs="Times New Roman"/>
          <w:b/>
          <w:sz w:val="20"/>
          <w:szCs w:val="20"/>
          <w:lang w:val="es-MX"/>
        </w:rPr>
        <w:t xml:space="preserve">FONDO VIDA EN COMUNIDAD GORE 2024: </w:t>
      </w:r>
    </w:p>
    <w:p w:rsidR="00B47AF1" w:rsidRPr="00B47AF1" w:rsidRDefault="00B47AF1" w:rsidP="00B47AF1">
      <w:pPr>
        <w:jc w:val="center"/>
        <w:rPr>
          <w:rFonts w:ascii="Microsoft JhengHei Light" w:eastAsia="Microsoft JhengHei Light" w:hAnsi="Microsoft JhengHei Light" w:cs="Times New Roman"/>
          <w:b/>
          <w:sz w:val="20"/>
          <w:szCs w:val="20"/>
          <w:lang w:val="es-MX"/>
        </w:rPr>
      </w:pPr>
      <w:r w:rsidRPr="00B47AF1">
        <w:rPr>
          <w:rFonts w:ascii="Microsoft JhengHei Light" w:eastAsia="Microsoft JhengHei Light" w:hAnsi="Microsoft JhengHei Light" w:cs="Times New Roman"/>
          <w:b/>
          <w:sz w:val="20"/>
          <w:szCs w:val="20"/>
          <w:lang w:val="es-MX"/>
        </w:rPr>
        <w:t>“MEDIO AMBIENTE”</w:t>
      </w:r>
    </w:p>
    <w:p w:rsidR="00B47AF1" w:rsidRDefault="00B47AF1" w:rsidP="00B47AF1">
      <w:pPr>
        <w:jc w:val="both"/>
        <w:rPr>
          <w:rFonts w:ascii="Microsoft JhengHei Light" w:eastAsia="Microsoft JhengHei Light" w:hAnsi="Microsoft JhengHei Light" w:cs="Times New Roman"/>
          <w:sz w:val="20"/>
          <w:szCs w:val="20"/>
          <w:lang w:val="es-MX"/>
        </w:rPr>
      </w:pPr>
      <w:r w:rsidRPr="00B47AF1">
        <w:rPr>
          <w:rFonts w:ascii="Microsoft JhengHei Light" w:eastAsia="Microsoft JhengHei Light" w:hAnsi="Microsoft JhengHei Light" w:cs="Times New Roman"/>
          <w:sz w:val="20"/>
          <w:szCs w:val="20"/>
          <w:u w:val="single"/>
          <w:lang w:val="es-MX"/>
        </w:rPr>
        <w:t>Expusieron</w:t>
      </w:r>
      <w:r w:rsidRPr="00B47AF1">
        <w:rPr>
          <w:rFonts w:ascii="Microsoft JhengHei Light" w:eastAsia="Microsoft JhengHei Light" w:hAnsi="Microsoft JhengHei Light" w:cs="Times New Roman"/>
          <w:sz w:val="20"/>
          <w:szCs w:val="20"/>
          <w:lang w:val="es-MX"/>
        </w:rPr>
        <w:t>: Laura Ramírez/Jefa DIDESO.</w:t>
      </w:r>
      <w:r w:rsidRPr="00B47AF1">
        <w:rPr>
          <w:rFonts w:ascii="Microsoft JhengHei Light" w:eastAsia="Microsoft JhengHei Light" w:hAnsi="Microsoft JhengHei Light" w:cs="Times New Roman"/>
          <w:sz w:val="20"/>
          <w:szCs w:val="20"/>
          <w:lang w:val="es-MX"/>
        </w:rPr>
        <w:tab/>
      </w:r>
    </w:p>
    <w:p w:rsidR="00B47AF1" w:rsidRDefault="00B47AF1" w:rsidP="00B47AF1">
      <w:pPr>
        <w:jc w:val="both"/>
        <w:rPr>
          <w:rFonts w:ascii="Microsoft JhengHei Light" w:eastAsia="Microsoft JhengHei Light" w:hAnsi="Microsoft JhengHei Light" w:cs="Times New Roman"/>
          <w:sz w:val="20"/>
          <w:szCs w:val="20"/>
        </w:rPr>
      </w:pPr>
      <w:r w:rsidRPr="00B47AF1">
        <w:rPr>
          <w:rFonts w:ascii="Microsoft JhengHei Light" w:eastAsia="Microsoft JhengHei Light" w:hAnsi="Microsoft JhengHei Light" w:cs="Times New Roman"/>
          <w:sz w:val="20"/>
          <w:szCs w:val="20"/>
        </w:rPr>
        <w:t>Las instituciones podrán postular un proyecto por línea de postulación.  Atendiendo a los principios de equidad, eficiencia y eficacia del gasto público, es que, si alguna de las instituciones presentare un proyecto en dos o más líneas de postulación y resultaren elegibles técnicamente y recomendable dos o todas sus iniciativas postuladas, el Gobierno Regional financiará solamente una de ellas, quedando en manos de la institución postulante, la decisión de elegir cuál de las iniciativas les será adjudicada y financiada.</w:t>
      </w:r>
    </w:p>
    <w:p w:rsidR="00000000" w:rsidRPr="00B47AF1" w:rsidRDefault="00985321" w:rsidP="00B47AF1">
      <w:pPr>
        <w:numPr>
          <w:ilvl w:val="0"/>
          <w:numId w:val="1"/>
        </w:numPr>
        <w:jc w:val="both"/>
        <w:rPr>
          <w:rFonts w:ascii="Microsoft JhengHei Light" w:eastAsia="Microsoft JhengHei Light" w:hAnsi="Microsoft JhengHei Light" w:cs="Times New Roman"/>
          <w:sz w:val="20"/>
          <w:szCs w:val="20"/>
        </w:rPr>
      </w:pPr>
      <w:r w:rsidRPr="00B47AF1">
        <w:rPr>
          <w:rFonts w:ascii="Microsoft JhengHei Light" w:eastAsia="Microsoft JhengHei Light" w:hAnsi="Microsoft JhengHei Light" w:cs="Times New Roman"/>
          <w:sz w:val="20"/>
          <w:szCs w:val="20"/>
        </w:rPr>
        <w:t>No podrán participar en esta convocatoria, aquellas instituciones que, en procesos anteriores, en un periodo no superior a 2 años, hayan presentado documentaciones no auténticas en sus p</w:t>
      </w:r>
      <w:r w:rsidRPr="00B47AF1">
        <w:rPr>
          <w:rFonts w:ascii="Microsoft JhengHei Light" w:eastAsia="Microsoft JhengHei Light" w:hAnsi="Microsoft JhengHei Light" w:cs="Times New Roman"/>
          <w:sz w:val="20"/>
          <w:szCs w:val="20"/>
        </w:rPr>
        <w:t>ostulaciones, debidamente acreditado por el Gobierno Regional.</w:t>
      </w:r>
    </w:p>
    <w:p w:rsidR="00000000" w:rsidRPr="00B47AF1" w:rsidRDefault="00985321" w:rsidP="00B47AF1">
      <w:pPr>
        <w:numPr>
          <w:ilvl w:val="0"/>
          <w:numId w:val="1"/>
        </w:numPr>
        <w:jc w:val="both"/>
        <w:rPr>
          <w:rFonts w:ascii="Microsoft JhengHei Light" w:eastAsia="Microsoft JhengHei Light" w:hAnsi="Microsoft JhengHei Light" w:cs="Times New Roman"/>
          <w:sz w:val="20"/>
          <w:szCs w:val="20"/>
        </w:rPr>
      </w:pPr>
      <w:r w:rsidRPr="00B47AF1">
        <w:rPr>
          <w:rFonts w:ascii="Microsoft JhengHei Light" w:eastAsia="Microsoft JhengHei Light" w:hAnsi="Microsoft JhengHei Light" w:cs="Times New Roman"/>
          <w:sz w:val="20"/>
          <w:szCs w:val="20"/>
        </w:rPr>
        <w:t>No podrán participar en esta convocatoria aquellas instituciones privadas sin fines de lucro que se hayan adjudicado recursos de</w:t>
      </w:r>
      <w:r w:rsidRPr="00B47AF1">
        <w:rPr>
          <w:rFonts w:ascii="Microsoft JhengHei Light" w:eastAsia="Microsoft JhengHei Light" w:hAnsi="Microsoft JhengHei Light" w:cs="Times New Roman"/>
          <w:sz w:val="20"/>
          <w:szCs w:val="20"/>
        </w:rPr>
        <w:t xml:space="preserve"> la subvención del presupuesto de inversión regional y cuya rendición de cuentas se registre en alguno de los siguientes estados:</w:t>
      </w:r>
    </w:p>
    <w:p w:rsidR="00B47AF1" w:rsidRPr="00B47AF1" w:rsidRDefault="00B47AF1" w:rsidP="00B47AF1">
      <w:pPr>
        <w:jc w:val="both"/>
        <w:rPr>
          <w:rFonts w:ascii="Microsoft JhengHei Light" w:eastAsia="Microsoft JhengHei Light" w:hAnsi="Microsoft JhengHei Light" w:cs="Times New Roman"/>
          <w:sz w:val="20"/>
          <w:szCs w:val="20"/>
        </w:rPr>
      </w:pPr>
      <w:r w:rsidRPr="00B47AF1">
        <w:rPr>
          <w:rFonts w:ascii="MS Gothic" w:eastAsia="MS Gothic" w:hAnsi="MS Gothic" w:cs="MS Gothic" w:hint="eastAsia"/>
          <w:sz w:val="20"/>
          <w:szCs w:val="20"/>
        </w:rPr>
        <w:t>●</w:t>
      </w:r>
      <w:r w:rsidRPr="00B47AF1">
        <w:rPr>
          <w:rFonts w:ascii="Microsoft JhengHei Light" w:eastAsia="Microsoft JhengHei Light" w:hAnsi="Microsoft JhengHei Light" w:cs="Times New Roman"/>
          <w:sz w:val="20"/>
          <w:szCs w:val="20"/>
        </w:rPr>
        <w:t xml:space="preserve">   Pendiente: no ha realizado la rendición de cuentas en el plazo de 15 días hábiles (de lunes a viernes, sin contar los días feriados) contados desde el término de ejecución.</w:t>
      </w:r>
    </w:p>
    <w:p w:rsidR="00B47AF1" w:rsidRPr="00B47AF1" w:rsidRDefault="00B47AF1" w:rsidP="00B47AF1">
      <w:pPr>
        <w:jc w:val="both"/>
        <w:rPr>
          <w:rFonts w:ascii="Microsoft JhengHei Light" w:eastAsia="Microsoft JhengHei Light" w:hAnsi="Microsoft JhengHei Light" w:cs="Times New Roman"/>
          <w:sz w:val="20"/>
          <w:szCs w:val="20"/>
        </w:rPr>
      </w:pPr>
      <w:r w:rsidRPr="00B47AF1">
        <w:rPr>
          <w:rFonts w:ascii="MS Gothic" w:eastAsia="MS Gothic" w:hAnsi="MS Gothic" w:cs="MS Gothic" w:hint="eastAsia"/>
          <w:sz w:val="20"/>
          <w:szCs w:val="20"/>
        </w:rPr>
        <w:t>●</w:t>
      </w:r>
      <w:r w:rsidRPr="00B47AF1">
        <w:rPr>
          <w:rFonts w:ascii="Microsoft JhengHei Light" w:eastAsia="Microsoft JhengHei Light" w:hAnsi="Microsoft JhengHei Light" w:cs="Times New Roman"/>
          <w:sz w:val="20"/>
          <w:szCs w:val="20"/>
        </w:rPr>
        <w:t xml:space="preserve">       Objetada: la entidad rindió los recursos transferidos, sin embargo, en la revisión de los antecedentes presentan incongruencias que no </w:t>
      </w:r>
      <w:proofErr w:type="gramStart"/>
      <w:r w:rsidRPr="00B47AF1">
        <w:rPr>
          <w:rFonts w:ascii="Microsoft JhengHei Light" w:eastAsia="Microsoft JhengHei Light" w:hAnsi="Microsoft JhengHei Light" w:cs="Times New Roman"/>
          <w:sz w:val="20"/>
          <w:szCs w:val="20"/>
        </w:rPr>
        <w:t>han</w:t>
      </w:r>
      <w:proofErr w:type="gramEnd"/>
      <w:r w:rsidRPr="00B47AF1">
        <w:rPr>
          <w:rFonts w:ascii="Microsoft JhengHei Light" w:eastAsia="Microsoft JhengHei Light" w:hAnsi="Microsoft JhengHei Light" w:cs="Times New Roman"/>
          <w:sz w:val="20"/>
          <w:szCs w:val="20"/>
        </w:rPr>
        <w:t xml:space="preserve"> sido subsanadas.</w:t>
      </w:r>
    </w:p>
    <w:p w:rsidR="00B47AF1" w:rsidRPr="00B47AF1" w:rsidRDefault="00B47AF1" w:rsidP="00B47AF1">
      <w:pPr>
        <w:jc w:val="both"/>
        <w:rPr>
          <w:rFonts w:ascii="Microsoft JhengHei Light" w:eastAsia="Microsoft JhengHei Light" w:hAnsi="Microsoft JhengHei Light" w:cs="Times New Roman"/>
          <w:sz w:val="20"/>
          <w:szCs w:val="20"/>
        </w:rPr>
      </w:pPr>
      <w:r w:rsidRPr="00B47AF1">
        <w:rPr>
          <w:rFonts w:ascii="MS Gothic" w:eastAsia="MS Gothic" w:hAnsi="MS Gothic" w:cs="MS Gothic" w:hint="eastAsia"/>
          <w:sz w:val="20"/>
          <w:szCs w:val="20"/>
        </w:rPr>
        <w:t>●</w:t>
      </w:r>
      <w:r w:rsidRPr="00B47AF1">
        <w:rPr>
          <w:rFonts w:ascii="Microsoft JhengHei Light" w:eastAsia="Microsoft JhengHei Light" w:hAnsi="Microsoft JhengHei Light" w:cs="Times New Roman"/>
          <w:sz w:val="20"/>
          <w:szCs w:val="20"/>
        </w:rPr>
        <w:t xml:space="preserve">       Gestión Jurídica de cobro o en tramitación judicial.</w:t>
      </w:r>
    </w:p>
    <w:p w:rsidR="00000000" w:rsidRPr="00B47AF1" w:rsidRDefault="00985321" w:rsidP="00B47AF1">
      <w:pPr>
        <w:numPr>
          <w:ilvl w:val="0"/>
          <w:numId w:val="2"/>
        </w:numPr>
        <w:jc w:val="both"/>
        <w:rPr>
          <w:rFonts w:ascii="Microsoft JhengHei Light" w:eastAsia="Microsoft JhengHei Light" w:hAnsi="Microsoft JhengHei Light" w:cs="Times New Roman"/>
          <w:sz w:val="20"/>
          <w:szCs w:val="20"/>
        </w:rPr>
      </w:pPr>
      <w:r w:rsidRPr="00B47AF1">
        <w:rPr>
          <w:rFonts w:ascii="Microsoft JhengHei Light" w:eastAsia="Microsoft JhengHei Light" w:hAnsi="Microsoft JhengHei Light" w:cs="Times New Roman"/>
          <w:sz w:val="20"/>
          <w:szCs w:val="20"/>
        </w:rPr>
        <w:t>No se financia</w:t>
      </w:r>
      <w:r w:rsidRPr="00B47AF1">
        <w:rPr>
          <w:rFonts w:ascii="Microsoft JhengHei Light" w:eastAsia="Microsoft JhengHei Light" w:hAnsi="Microsoft JhengHei Light" w:cs="Times New Roman"/>
          <w:sz w:val="20"/>
          <w:szCs w:val="20"/>
        </w:rPr>
        <w:t xml:space="preserve">rán proyectos de infraestructura, y sólo podrá financiarse la </w:t>
      </w:r>
      <w:r w:rsidRPr="00B47AF1">
        <w:rPr>
          <w:rFonts w:ascii="Microsoft JhengHei Light" w:eastAsia="Microsoft JhengHei Light" w:hAnsi="Microsoft JhengHei Light" w:cs="Times New Roman"/>
          <w:b/>
          <w:bCs/>
          <w:sz w:val="20"/>
          <w:szCs w:val="20"/>
          <w:u w:val="single"/>
        </w:rPr>
        <w:t>inversión que se demuestre imprescindible para el normal desarrollo del proyecto, lo que se verificará en la evaluación técnica rea</w:t>
      </w:r>
      <w:r w:rsidRPr="00B47AF1">
        <w:rPr>
          <w:rFonts w:ascii="Microsoft JhengHei Light" w:eastAsia="Microsoft JhengHei Light" w:hAnsi="Microsoft JhengHei Light" w:cs="Times New Roman"/>
          <w:b/>
          <w:bCs/>
          <w:sz w:val="20"/>
          <w:szCs w:val="20"/>
          <w:u w:val="single"/>
        </w:rPr>
        <w:t>lizada por el Gobierno Regional</w:t>
      </w:r>
      <w:r w:rsidRPr="00B47AF1">
        <w:rPr>
          <w:rFonts w:ascii="Microsoft JhengHei Light" w:eastAsia="Microsoft JhengHei Light" w:hAnsi="Microsoft JhengHei Light" w:cs="Times New Roman"/>
          <w:sz w:val="20"/>
          <w:szCs w:val="20"/>
        </w:rPr>
        <w:t xml:space="preserve">.  Asimismo, este concurso no </w:t>
      </w:r>
      <w:r w:rsidRPr="00B47AF1">
        <w:rPr>
          <w:rFonts w:ascii="Microsoft JhengHei Light" w:eastAsia="Microsoft JhengHei Light" w:hAnsi="Microsoft JhengHei Light" w:cs="Times New Roman"/>
          <w:sz w:val="20"/>
          <w:szCs w:val="20"/>
        </w:rPr>
        <w:lastRenderedPageBreak/>
        <w:t xml:space="preserve">financiará la entrega de estímulos o premios consistentes en dinero efectivo o algún equivalente. </w:t>
      </w:r>
      <w:r w:rsidRPr="00B47AF1">
        <w:rPr>
          <w:rFonts w:ascii="Microsoft JhengHei Light" w:eastAsia="Microsoft JhengHei Light" w:hAnsi="Microsoft JhengHei Light" w:cs="Times New Roman"/>
          <w:b/>
          <w:bCs/>
          <w:sz w:val="20"/>
          <w:szCs w:val="20"/>
          <w:u w:val="single"/>
        </w:rPr>
        <w:t>Las Entidades postulantes que requieran inversión, deberán considerar en primera instancia el posible arrendamiento del bien.</w:t>
      </w:r>
    </w:p>
    <w:p w:rsidR="00000000" w:rsidRPr="00B47AF1" w:rsidRDefault="00985321" w:rsidP="00B47AF1">
      <w:pPr>
        <w:numPr>
          <w:ilvl w:val="0"/>
          <w:numId w:val="2"/>
        </w:numPr>
        <w:jc w:val="both"/>
        <w:rPr>
          <w:rFonts w:ascii="Microsoft JhengHei Light" w:eastAsia="Microsoft JhengHei Light" w:hAnsi="Microsoft JhengHei Light" w:cs="Times New Roman"/>
          <w:sz w:val="20"/>
          <w:szCs w:val="20"/>
        </w:rPr>
      </w:pPr>
      <w:r w:rsidRPr="00B47AF1">
        <w:rPr>
          <w:rFonts w:ascii="Microsoft JhengHei Light" w:eastAsia="Microsoft JhengHei Light" w:hAnsi="Microsoft JhengHei Light" w:cs="Times New Roman"/>
          <w:sz w:val="20"/>
          <w:szCs w:val="20"/>
        </w:rPr>
        <w:t>No se financiará el arrien</w:t>
      </w:r>
      <w:r w:rsidRPr="00B47AF1">
        <w:rPr>
          <w:rFonts w:ascii="Microsoft JhengHei Light" w:eastAsia="Microsoft JhengHei Light" w:hAnsi="Microsoft JhengHei Light" w:cs="Times New Roman"/>
          <w:sz w:val="20"/>
          <w:szCs w:val="20"/>
        </w:rPr>
        <w:t>do de oficinas o terrenos, destinado al funcionamiento de las organizaciones.</w:t>
      </w:r>
    </w:p>
    <w:p w:rsidR="00000000" w:rsidRPr="00B47AF1" w:rsidRDefault="00985321" w:rsidP="00B47AF1">
      <w:pPr>
        <w:numPr>
          <w:ilvl w:val="0"/>
          <w:numId w:val="2"/>
        </w:numPr>
        <w:jc w:val="both"/>
        <w:rPr>
          <w:rFonts w:ascii="Microsoft JhengHei Light" w:eastAsia="Microsoft JhengHei Light" w:hAnsi="Microsoft JhengHei Light" w:cs="Times New Roman"/>
          <w:sz w:val="20"/>
          <w:szCs w:val="20"/>
        </w:rPr>
      </w:pPr>
      <w:r w:rsidRPr="00B47AF1">
        <w:rPr>
          <w:rFonts w:ascii="Microsoft JhengHei Light" w:eastAsia="Microsoft JhengHei Light" w:hAnsi="Microsoft JhengHei Light" w:cs="Times New Roman"/>
          <w:sz w:val="20"/>
          <w:szCs w:val="20"/>
        </w:rPr>
        <w:t xml:space="preserve">Los </w:t>
      </w:r>
      <w:r w:rsidRPr="00B47AF1">
        <w:rPr>
          <w:rFonts w:ascii="Microsoft JhengHei Light" w:eastAsia="Microsoft JhengHei Light" w:hAnsi="Microsoft JhengHei Light" w:cs="Times New Roman"/>
          <w:sz w:val="20"/>
          <w:szCs w:val="20"/>
          <w:u w:val="single"/>
        </w:rPr>
        <w:t>prestadores de servicios personales</w:t>
      </w:r>
      <w:r w:rsidRPr="00B47AF1">
        <w:rPr>
          <w:rFonts w:ascii="Microsoft JhengHei Light" w:eastAsia="Microsoft JhengHei Light" w:hAnsi="Microsoft JhengHei Light" w:cs="Times New Roman"/>
          <w:sz w:val="20"/>
          <w:szCs w:val="20"/>
        </w:rPr>
        <w:t xml:space="preserve"> que postulen en las propuestas presentadas en las diferentes subvenciones de este llamado, p</w:t>
      </w:r>
      <w:r w:rsidRPr="00B47AF1">
        <w:rPr>
          <w:rFonts w:ascii="Microsoft JhengHei Light" w:eastAsia="Microsoft JhengHei Light" w:hAnsi="Microsoft JhengHei Light" w:cs="Times New Roman"/>
          <w:sz w:val="20"/>
          <w:szCs w:val="20"/>
        </w:rPr>
        <w:t xml:space="preserve">odrán participar en un </w:t>
      </w:r>
      <w:r w:rsidRPr="00B47AF1">
        <w:rPr>
          <w:rFonts w:ascii="Microsoft JhengHei Light" w:eastAsia="Microsoft JhengHei Light" w:hAnsi="Microsoft JhengHei Light" w:cs="Times New Roman"/>
          <w:b/>
          <w:bCs/>
          <w:sz w:val="20"/>
          <w:szCs w:val="20"/>
        </w:rPr>
        <w:t>máximo de 2 proyectos postulados y/o aprobados</w:t>
      </w:r>
      <w:r w:rsidRPr="00B47AF1">
        <w:rPr>
          <w:rFonts w:ascii="Microsoft JhengHei Light" w:eastAsia="Microsoft JhengHei Light" w:hAnsi="Microsoft JhengHei Light" w:cs="Times New Roman"/>
          <w:sz w:val="20"/>
          <w:szCs w:val="20"/>
        </w:rPr>
        <w:t xml:space="preserve">. </w:t>
      </w:r>
    </w:p>
    <w:p w:rsidR="00B47AF1" w:rsidRPr="00B47AF1" w:rsidRDefault="00B47AF1" w:rsidP="00B47AF1">
      <w:pPr>
        <w:jc w:val="both"/>
        <w:rPr>
          <w:rFonts w:ascii="Microsoft JhengHei Light" w:eastAsia="Microsoft JhengHei Light" w:hAnsi="Microsoft JhengHei Light" w:cs="Times New Roman"/>
          <w:sz w:val="20"/>
          <w:szCs w:val="20"/>
        </w:rPr>
      </w:pPr>
      <w:r w:rsidRPr="00B47AF1">
        <w:rPr>
          <w:rFonts w:ascii="Microsoft JhengHei Light" w:eastAsia="Microsoft JhengHei Light" w:hAnsi="Microsoft JhengHei Light" w:cs="Times New Roman"/>
          <w:sz w:val="20"/>
          <w:szCs w:val="20"/>
        </w:rPr>
        <w:t>No se considerarán partidas de gasto en ningún caso:</w:t>
      </w:r>
    </w:p>
    <w:p w:rsidR="00B47AF1" w:rsidRPr="00B47AF1" w:rsidRDefault="00B47AF1" w:rsidP="00B47AF1">
      <w:pPr>
        <w:pStyle w:val="Prrafodelista"/>
        <w:numPr>
          <w:ilvl w:val="0"/>
          <w:numId w:val="3"/>
        </w:numPr>
        <w:jc w:val="both"/>
        <w:rPr>
          <w:rFonts w:ascii="Microsoft JhengHei Light" w:eastAsia="Microsoft JhengHei Light" w:hAnsi="Microsoft JhengHei Light" w:cs="Times New Roman"/>
          <w:sz w:val="20"/>
          <w:szCs w:val="20"/>
        </w:rPr>
      </w:pPr>
      <w:r w:rsidRPr="00B47AF1">
        <w:rPr>
          <w:rFonts w:ascii="Microsoft JhengHei Light" w:eastAsia="Microsoft JhengHei Light" w:hAnsi="Microsoft JhengHei Light" w:cs="Times New Roman"/>
          <w:sz w:val="20"/>
          <w:szCs w:val="20"/>
        </w:rPr>
        <w:t>Infraestructura: Cierres perimetrales, plazas activas, obras de infraestructura, construcciones de sedes, cualquier tipo de obra civil, entre otras.</w:t>
      </w:r>
    </w:p>
    <w:p w:rsidR="00B47AF1" w:rsidRPr="00B47AF1" w:rsidRDefault="00B47AF1" w:rsidP="00B47AF1">
      <w:pPr>
        <w:pStyle w:val="Prrafodelista"/>
        <w:numPr>
          <w:ilvl w:val="0"/>
          <w:numId w:val="3"/>
        </w:numPr>
        <w:jc w:val="both"/>
        <w:rPr>
          <w:rFonts w:ascii="Microsoft JhengHei Light" w:eastAsia="Microsoft JhengHei Light" w:hAnsi="Microsoft JhengHei Light" w:cs="Times New Roman"/>
          <w:sz w:val="20"/>
          <w:szCs w:val="20"/>
        </w:rPr>
      </w:pPr>
      <w:r w:rsidRPr="00B47AF1">
        <w:rPr>
          <w:rFonts w:ascii="Microsoft JhengHei Light" w:eastAsia="Microsoft JhengHei Light" w:hAnsi="Microsoft JhengHei Light" w:cs="Times New Roman"/>
          <w:sz w:val="20"/>
          <w:szCs w:val="20"/>
        </w:rPr>
        <w:t>Acciones publicitarias: Propaganda y/o gastos de difusión asociados a las labores propias de la entidad beneficiarias de la subvención y no relacionadas directa y exclusivamente a las actividades financiadas en el proyecto.</w:t>
      </w:r>
    </w:p>
    <w:p w:rsidR="00B47AF1" w:rsidRPr="00B47AF1" w:rsidRDefault="00B47AF1" w:rsidP="00B47AF1">
      <w:pPr>
        <w:pStyle w:val="Prrafodelista"/>
        <w:numPr>
          <w:ilvl w:val="0"/>
          <w:numId w:val="3"/>
        </w:numPr>
        <w:jc w:val="both"/>
        <w:rPr>
          <w:rFonts w:ascii="Microsoft JhengHei Light" w:eastAsia="Microsoft JhengHei Light" w:hAnsi="Microsoft JhengHei Light" w:cs="Times New Roman"/>
          <w:sz w:val="20"/>
          <w:szCs w:val="20"/>
        </w:rPr>
      </w:pPr>
      <w:r w:rsidRPr="00B47AF1">
        <w:rPr>
          <w:rFonts w:ascii="Microsoft JhengHei Light" w:eastAsia="Microsoft JhengHei Light" w:hAnsi="Microsoft JhengHei Light" w:cs="Times New Roman"/>
          <w:sz w:val="20"/>
          <w:szCs w:val="20"/>
        </w:rPr>
        <w:t>Aporte o Donaciones: A empresas, Universidades, Institutos Profesionales, Canales de Televisión, o cualquier otro medio de comunicación social.</w:t>
      </w:r>
    </w:p>
    <w:p w:rsidR="00B47AF1" w:rsidRPr="00B47AF1" w:rsidRDefault="00B47AF1" w:rsidP="00B47AF1">
      <w:pPr>
        <w:pStyle w:val="Prrafodelista"/>
        <w:numPr>
          <w:ilvl w:val="0"/>
          <w:numId w:val="3"/>
        </w:numPr>
        <w:jc w:val="both"/>
        <w:rPr>
          <w:rFonts w:ascii="Microsoft JhengHei Light" w:eastAsia="Microsoft JhengHei Light" w:hAnsi="Microsoft JhengHei Light" w:cs="Times New Roman"/>
          <w:sz w:val="20"/>
          <w:szCs w:val="20"/>
        </w:rPr>
      </w:pPr>
      <w:r w:rsidRPr="00B47AF1">
        <w:rPr>
          <w:rFonts w:ascii="Microsoft JhengHei Light" w:eastAsia="Microsoft JhengHei Light" w:hAnsi="Microsoft JhengHei Light" w:cs="Times New Roman"/>
          <w:sz w:val="20"/>
          <w:szCs w:val="20"/>
        </w:rPr>
        <w:t>Gastos en: bebidas alcohólicas, cigarrillos, vinos de honor.</w:t>
      </w:r>
    </w:p>
    <w:p w:rsidR="00B47AF1" w:rsidRPr="00B47AF1" w:rsidRDefault="00B47AF1" w:rsidP="00B47AF1">
      <w:pPr>
        <w:pStyle w:val="Prrafodelista"/>
        <w:numPr>
          <w:ilvl w:val="0"/>
          <w:numId w:val="3"/>
        </w:numPr>
        <w:jc w:val="both"/>
        <w:rPr>
          <w:rFonts w:ascii="Microsoft JhengHei Light" w:eastAsia="Microsoft JhengHei Light" w:hAnsi="Microsoft JhengHei Light" w:cs="Times New Roman"/>
          <w:sz w:val="20"/>
          <w:szCs w:val="20"/>
        </w:rPr>
      </w:pPr>
      <w:r w:rsidRPr="00B47AF1">
        <w:rPr>
          <w:rFonts w:ascii="Microsoft JhengHei Light" w:eastAsia="Microsoft JhengHei Light" w:hAnsi="Microsoft JhengHei Light" w:cs="Times New Roman"/>
          <w:sz w:val="20"/>
          <w:szCs w:val="20"/>
        </w:rPr>
        <w:t>Compra de: Vehículos.</w:t>
      </w:r>
    </w:p>
    <w:p w:rsidR="00B47AF1" w:rsidRPr="00B47AF1" w:rsidRDefault="00B47AF1" w:rsidP="00B47AF1">
      <w:pPr>
        <w:pStyle w:val="Prrafodelista"/>
        <w:numPr>
          <w:ilvl w:val="0"/>
          <w:numId w:val="3"/>
        </w:numPr>
        <w:jc w:val="both"/>
        <w:rPr>
          <w:rFonts w:ascii="Microsoft JhengHei Light" w:eastAsia="Microsoft JhengHei Light" w:hAnsi="Microsoft JhengHei Light" w:cs="Times New Roman"/>
          <w:sz w:val="20"/>
          <w:szCs w:val="20"/>
        </w:rPr>
      </w:pPr>
      <w:r w:rsidRPr="00B47AF1">
        <w:rPr>
          <w:rFonts w:ascii="Microsoft JhengHei Light" w:eastAsia="Microsoft JhengHei Light" w:hAnsi="Microsoft JhengHei Light" w:cs="Times New Roman"/>
          <w:sz w:val="20"/>
          <w:szCs w:val="20"/>
        </w:rPr>
        <w:t>Pago de Honorarios por labores: administrativas, Rendiciones de cuentas, contabilidad, secretaría, elaboración de proyecto, entre otras.</w:t>
      </w:r>
    </w:p>
    <w:p w:rsidR="00B47AF1" w:rsidRDefault="00B47AF1" w:rsidP="00B47AF1">
      <w:pPr>
        <w:pStyle w:val="Prrafodelista"/>
        <w:numPr>
          <w:ilvl w:val="0"/>
          <w:numId w:val="3"/>
        </w:numPr>
        <w:jc w:val="both"/>
        <w:rPr>
          <w:rFonts w:ascii="Microsoft JhengHei Light" w:eastAsia="Microsoft JhengHei Light" w:hAnsi="Microsoft JhengHei Light" w:cs="Times New Roman"/>
          <w:sz w:val="20"/>
          <w:szCs w:val="20"/>
        </w:rPr>
      </w:pPr>
      <w:r w:rsidRPr="00B47AF1">
        <w:rPr>
          <w:rFonts w:ascii="Microsoft JhengHei Light" w:eastAsia="Microsoft JhengHei Light" w:hAnsi="Microsoft JhengHei Light" w:cs="Times New Roman"/>
          <w:sz w:val="20"/>
          <w:szCs w:val="20"/>
        </w:rPr>
        <w:t>Premios en dinero en efectivo, Combustibles para vehículos, peajes, gastos básicos (Agua, luz, internet, teléfono fijo o móvil y/o calefacción)</w:t>
      </w:r>
      <w:r>
        <w:rPr>
          <w:rFonts w:ascii="Microsoft JhengHei Light" w:eastAsia="Microsoft JhengHei Light" w:hAnsi="Microsoft JhengHei Light" w:cs="Times New Roman"/>
          <w:sz w:val="20"/>
          <w:szCs w:val="20"/>
        </w:rPr>
        <w:t>.</w:t>
      </w:r>
    </w:p>
    <w:p w:rsidR="00B47AF1" w:rsidRDefault="00B47AF1" w:rsidP="00B47AF1">
      <w:pPr>
        <w:jc w:val="both"/>
        <w:rPr>
          <w:rFonts w:ascii="Microsoft JhengHei Light" w:eastAsia="Microsoft JhengHei Light" w:hAnsi="Microsoft JhengHei Light" w:cs="Times New Roman"/>
          <w:sz w:val="20"/>
          <w:szCs w:val="20"/>
        </w:rPr>
      </w:pPr>
    </w:p>
    <w:p w:rsidR="00B47AF1" w:rsidRDefault="00B47AF1" w:rsidP="00B47AF1">
      <w:pPr>
        <w:jc w:val="both"/>
        <w:rPr>
          <w:rFonts w:ascii="Microsoft JhengHei Light" w:eastAsia="Microsoft JhengHei Light" w:hAnsi="Microsoft JhengHei Light" w:cs="Times New Roman"/>
          <w:sz w:val="20"/>
          <w:szCs w:val="20"/>
        </w:rPr>
      </w:pPr>
    </w:p>
    <w:p w:rsidR="00B47AF1" w:rsidRDefault="00B47AF1" w:rsidP="00B47AF1">
      <w:pPr>
        <w:jc w:val="both"/>
        <w:rPr>
          <w:rFonts w:ascii="Microsoft JhengHei Light" w:eastAsia="Microsoft JhengHei Light" w:hAnsi="Microsoft JhengHei Light" w:cs="Times New Roman"/>
          <w:sz w:val="20"/>
          <w:szCs w:val="20"/>
        </w:rPr>
      </w:pPr>
    </w:p>
    <w:p w:rsidR="00B47AF1" w:rsidRDefault="00B47AF1" w:rsidP="00B47AF1">
      <w:pPr>
        <w:jc w:val="both"/>
        <w:rPr>
          <w:rFonts w:ascii="Microsoft JhengHei Light" w:eastAsia="Microsoft JhengHei Light" w:hAnsi="Microsoft JhengHei Light" w:cs="Times New Roman"/>
          <w:sz w:val="20"/>
          <w:szCs w:val="20"/>
        </w:rPr>
      </w:pPr>
      <w:r w:rsidRPr="00B47AF1">
        <w:rPr>
          <w:rFonts w:ascii="Microsoft JhengHei Light" w:eastAsia="Microsoft JhengHei Light" w:hAnsi="Microsoft JhengHei Light" w:cs="Times New Roman"/>
          <w:sz w:val="20"/>
          <w:szCs w:val="20"/>
        </w:rPr>
        <w:lastRenderedPageBreak/>
        <w:t>MEDIO AMBIENTE</w:t>
      </w:r>
      <w:r>
        <w:rPr>
          <w:rFonts w:ascii="Microsoft JhengHei Light" w:eastAsia="Microsoft JhengHei Light" w:hAnsi="Microsoft JhengHei Light" w:cs="Times New Roman"/>
          <w:sz w:val="20"/>
          <w:szCs w:val="20"/>
        </w:rPr>
        <w:t>:</w:t>
      </w:r>
    </w:p>
    <w:p w:rsidR="00B47AF1" w:rsidRDefault="00B47AF1" w:rsidP="00985321">
      <w:pPr>
        <w:jc w:val="center"/>
        <w:rPr>
          <w:rFonts w:ascii="Microsoft JhengHei Light" w:eastAsia="Microsoft JhengHei Light" w:hAnsi="Microsoft JhengHei Light" w:cs="Times New Roman"/>
          <w:sz w:val="20"/>
          <w:szCs w:val="20"/>
        </w:rPr>
      </w:pPr>
      <w:r>
        <w:rPr>
          <w:rFonts w:ascii="Microsoft JhengHei Light" w:eastAsia="Microsoft JhengHei Light" w:hAnsi="Microsoft JhengHei Light" w:cs="Times New Roman"/>
          <w:noProof/>
          <w:sz w:val="20"/>
          <w:szCs w:val="20"/>
          <w:lang w:eastAsia="es-CL"/>
        </w:rPr>
        <w:drawing>
          <wp:inline distT="0" distB="0" distL="0" distR="0" wp14:anchorId="0310B941">
            <wp:extent cx="7188200" cy="2837447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223" cy="2846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7AF1" w:rsidRDefault="00B47AF1" w:rsidP="00985321">
      <w:pPr>
        <w:jc w:val="center"/>
        <w:rPr>
          <w:rFonts w:ascii="Microsoft JhengHei Light" w:eastAsia="Microsoft JhengHei Light" w:hAnsi="Microsoft JhengHei Light" w:cs="Times New Roman"/>
          <w:sz w:val="20"/>
          <w:szCs w:val="20"/>
        </w:rPr>
      </w:pPr>
      <w:r>
        <w:rPr>
          <w:rFonts w:ascii="Microsoft JhengHei Light" w:eastAsia="Microsoft JhengHei Light" w:hAnsi="Microsoft JhengHei Light" w:cs="Times New Roman"/>
          <w:noProof/>
          <w:sz w:val="20"/>
          <w:szCs w:val="20"/>
          <w:lang w:eastAsia="es-CL"/>
        </w:rPr>
        <w:lastRenderedPageBreak/>
        <w:drawing>
          <wp:inline distT="0" distB="0" distL="0" distR="0" wp14:anchorId="0F36B61A">
            <wp:extent cx="7005320" cy="2724150"/>
            <wp:effectExtent l="0" t="0" r="508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420" cy="273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5321" w:rsidRPr="00B47AF1" w:rsidRDefault="00985321" w:rsidP="00985321">
      <w:pPr>
        <w:jc w:val="center"/>
        <w:rPr>
          <w:rFonts w:ascii="Microsoft JhengHei Light" w:eastAsia="Microsoft JhengHei Light" w:hAnsi="Microsoft JhengHei Light" w:cs="Times New Roman"/>
          <w:sz w:val="20"/>
          <w:szCs w:val="20"/>
        </w:rPr>
      </w:pPr>
      <w:r>
        <w:rPr>
          <w:rFonts w:ascii="Microsoft JhengHei Light" w:eastAsia="Microsoft JhengHei Light" w:hAnsi="Microsoft JhengHei Light" w:cs="Times New Roman"/>
          <w:noProof/>
          <w:sz w:val="20"/>
          <w:szCs w:val="20"/>
          <w:lang w:eastAsia="es-CL"/>
        </w:rPr>
        <w:drawing>
          <wp:inline distT="0" distB="0" distL="0" distR="0" wp14:anchorId="63B03D97">
            <wp:extent cx="6988808" cy="2621915"/>
            <wp:effectExtent l="0" t="0" r="3175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767" cy="26312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7AF1" w:rsidRDefault="00B47AF1" w:rsidP="00985321">
      <w:pPr>
        <w:jc w:val="center"/>
        <w:rPr>
          <w:rFonts w:ascii="Microsoft JhengHei Light" w:eastAsia="Microsoft JhengHei Light" w:hAnsi="Microsoft JhengHei Light" w:cs="Times New Roman"/>
          <w:sz w:val="20"/>
          <w:szCs w:val="20"/>
          <w:lang w:val="es-MX"/>
        </w:rPr>
      </w:pPr>
      <w:r w:rsidRPr="00B47AF1">
        <w:rPr>
          <w:rFonts w:ascii="Microsoft JhengHei Light" w:eastAsia="Microsoft JhengHei Light" w:hAnsi="Microsoft JhengHei Light" w:cs="Times New Roman"/>
          <w:sz w:val="20"/>
          <w:szCs w:val="20"/>
          <w:lang w:val="es-MX"/>
        </w:rPr>
        <w:lastRenderedPageBreak/>
        <w:t>.</w:t>
      </w:r>
      <w:r w:rsidR="00985321">
        <w:rPr>
          <w:rFonts w:ascii="Microsoft JhengHei Light" w:eastAsia="Microsoft JhengHei Light" w:hAnsi="Microsoft JhengHei Light" w:cs="Times New Roman"/>
          <w:noProof/>
          <w:sz w:val="20"/>
          <w:szCs w:val="20"/>
          <w:lang w:eastAsia="es-CL"/>
        </w:rPr>
        <w:drawing>
          <wp:inline distT="0" distB="0" distL="0" distR="0" wp14:anchorId="4E6EDA30">
            <wp:extent cx="6246662" cy="3133725"/>
            <wp:effectExtent l="0" t="0" r="190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204" cy="3135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5321" w:rsidRDefault="00985321" w:rsidP="00985321">
      <w:pPr>
        <w:jc w:val="center"/>
        <w:rPr>
          <w:rFonts w:ascii="Microsoft JhengHei Light" w:eastAsia="Microsoft JhengHei Light" w:hAnsi="Microsoft JhengHei Light" w:cs="Times New Roman"/>
          <w:sz w:val="20"/>
          <w:szCs w:val="20"/>
          <w:lang w:val="es-MX"/>
        </w:rPr>
      </w:pPr>
    </w:p>
    <w:p w:rsidR="00985321" w:rsidRDefault="00985321" w:rsidP="00985321">
      <w:pPr>
        <w:jc w:val="center"/>
        <w:rPr>
          <w:rFonts w:ascii="Microsoft JhengHei Light" w:eastAsia="Microsoft JhengHei Light" w:hAnsi="Microsoft JhengHei Light" w:cs="Times New Roman"/>
          <w:sz w:val="20"/>
          <w:szCs w:val="20"/>
          <w:lang w:val="es-MX"/>
        </w:rPr>
      </w:pPr>
    </w:p>
    <w:p w:rsidR="00985321" w:rsidRDefault="00985321" w:rsidP="00985321">
      <w:pPr>
        <w:jc w:val="center"/>
        <w:rPr>
          <w:rFonts w:ascii="Microsoft JhengHei Light" w:eastAsia="Microsoft JhengHei Light" w:hAnsi="Microsoft JhengHei Light" w:cs="Times New Roman"/>
          <w:sz w:val="20"/>
          <w:szCs w:val="20"/>
          <w:lang w:val="es-MX"/>
        </w:rPr>
      </w:pPr>
    </w:p>
    <w:p w:rsidR="00985321" w:rsidRDefault="00985321" w:rsidP="00985321">
      <w:pPr>
        <w:jc w:val="center"/>
        <w:rPr>
          <w:rFonts w:ascii="Microsoft JhengHei Light" w:eastAsia="Microsoft JhengHei Light" w:hAnsi="Microsoft JhengHei Light" w:cs="Times New Roman"/>
          <w:sz w:val="20"/>
          <w:szCs w:val="20"/>
          <w:lang w:val="es-MX"/>
        </w:rPr>
      </w:pPr>
    </w:p>
    <w:p w:rsidR="00985321" w:rsidRDefault="00985321" w:rsidP="00985321">
      <w:pPr>
        <w:jc w:val="center"/>
        <w:rPr>
          <w:rFonts w:ascii="Microsoft JhengHei Light" w:eastAsia="Microsoft JhengHei Light" w:hAnsi="Microsoft JhengHei Light" w:cs="Times New Roman"/>
          <w:sz w:val="20"/>
          <w:szCs w:val="20"/>
          <w:lang w:val="es-MX"/>
        </w:rPr>
      </w:pPr>
    </w:p>
    <w:p w:rsidR="00985321" w:rsidRDefault="00985321" w:rsidP="00985321">
      <w:pPr>
        <w:jc w:val="center"/>
        <w:rPr>
          <w:rFonts w:ascii="Microsoft JhengHei Light" w:eastAsia="Microsoft JhengHei Light" w:hAnsi="Microsoft JhengHei Light" w:cs="Times New Roman"/>
          <w:sz w:val="20"/>
          <w:szCs w:val="20"/>
          <w:lang w:val="es-MX"/>
        </w:rPr>
      </w:pPr>
    </w:p>
    <w:p w:rsidR="00985321" w:rsidRDefault="00985321" w:rsidP="00985321">
      <w:pPr>
        <w:jc w:val="center"/>
        <w:rPr>
          <w:rFonts w:ascii="Microsoft JhengHei Light" w:eastAsia="Microsoft JhengHei Light" w:hAnsi="Microsoft JhengHei Light" w:cs="Times New Roman"/>
          <w:sz w:val="20"/>
          <w:szCs w:val="20"/>
          <w:lang w:val="es-MX"/>
        </w:rPr>
      </w:pPr>
    </w:p>
    <w:p w:rsidR="00985321" w:rsidRPr="00B47AF1" w:rsidRDefault="00985321" w:rsidP="00985321">
      <w:pPr>
        <w:jc w:val="center"/>
        <w:rPr>
          <w:rFonts w:ascii="Microsoft JhengHei Light" w:eastAsia="Microsoft JhengHei Light" w:hAnsi="Microsoft JhengHei Light" w:cs="Times New Roman"/>
          <w:sz w:val="20"/>
          <w:szCs w:val="20"/>
          <w:lang w:val="es-MX"/>
        </w:rPr>
      </w:pPr>
      <w:r w:rsidRPr="00985321">
        <w:rPr>
          <w:rFonts w:ascii="Microsoft JhengHei Light" w:eastAsia="Microsoft JhengHei Light" w:hAnsi="Microsoft JhengHei Light" w:cs="Times New Roman"/>
          <w:sz w:val="20"/>
          <w:szCs w:val="20"/>
          <w:lang w:val="es-MX"/>
        </w:rPr>
        <w:lastRenderedPageBreak/>
        <w:t>SUBVENCIÓN DE MEDIO AMBIENTE</w:t>
      </w:r>
    </w:p>
    <w:p w:rsidR="005E334F" w:rsidRDefault="00985321" w:rsidP="00985321">
      <w:pPr>
        <w:jc w:val="center"/>
      </w:pPr>
      <w:r>
        <w:rPr>
          <w:noProof/>
          <w:lang w:eastAsia="es-CL"/>
        </w:rPr>
        <w:drawing>
          <wp:inline distT="0" distB="0" distL="0" distR="0" wp14:anchorId="2BD2FF2C">
            <wp:extent cx="6561128" cy="3676015"/>
            <wp:effectExtent l="0" t="0" r="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87" cy="3678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5321" w:rsidRDefault="00985321" w:rsidP="00985321">
      <w:pPr>
        <w:jc w:val="center"/>
      </w:pPr>
    </w:p>
    <w:p w:rsidR="00985321" w:rsidRDefault="00985321" w:rsidP="00985321">
      <w:pPr>
        <w:pStyle w:val="Prrafodelista"/>
      </w:pPr>
      <w:r>
        <w:t>*Por parte de los Consejeros regionales, se solicita modificar los indicadores de equidad de género en la línea de APR y bajar ese %, y distribuirlo, en los demás indicadores, a modo de no sobredimensionar un indicador que no está previsto en la directriz de la líneas, toda vez que se enfoca en Mujeres, jóvenes y adultos mayores.</w:t>
      </w:r>
    </w:p>
    <w:p w:rsidR="00985321" w:rsidRDefault="00985321" w:rsidP="00985321">
      <w:pPr>
        <w:pStyle w:val="Prrafodelista"/>
      </w:pPr>
      <w:r>
        <w:t xml:space="preserve">*Se solicita redistribuir fondos, y fortalecer la línea de residuos, por sobre otras y así dar señales de la importancia del </w:t>
      </w:r>
      <w:bookmarkStart w:id="0" w:name="_GoBack"/>
      <w:bookmarkEnd w:id="0"/>
      <w:r>
        <w:t>tema, para el Consejo Regional, debido al contexto de problemas con el relleno sanitario.</w:t>
      </w:r>
    </w:p>
    <w:sectPr w:rsidR="00985321" w:rsidSect="00B47AF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C5A26"/>
    <w:multiLevelType w:val="hybridMultilevel"/>
    <w:tmpl w:val="7A4EA0EE"/>
    <w:lvl w:ilvl="0" w:tplc="4A82CD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16A4C7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BD64AA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E8829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330BC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DBC26E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BAF1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7248A7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B0C8A8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C64E8D"/>
    <w:multiLevelType w:val="hybridMultilevel"/>
    <w:tmpl w:val="5546C8B8"/>
    <w:lvl w:ilvl="0" w:tplc="C9A09C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05871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3B065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EC408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97E15B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114D37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9BA47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BBC2DC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1BCE2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9F5D2E"/>
    <w:multiLevelType w:val="hybridMultilevel"/>
    <w:tmpl w:val="5510CD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F1"/>
    <w:rsid w:val="005E334F"/>
    <w:rsid w:val="00985321"/>
    <w:rsid w:val="00B4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7F413-6CE3-485F-BF2B-9008EA1E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7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3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2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8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611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Hölk</dc:creator>
  <cp:keywords/>
  <dc:description/>
  <cp:lastModifiedBy>Eduardo Hölk</cp:lastModifiedBy>
  <cp:revision>1</cp:revision>
  <dcterms:created xsi:type="dcterms:W3CDTF">2024-04-09T00:51:00Z</dcterms:created>
  <dcterms:modified xsi:type="dcterms:W3CDTF">2024-04-09T01:10:00Z</dcterms:modified>
</cp:coreProperties>
</file>