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6105F" w14:textId="29B481EA" w:rsidR="003F24D0" w:rsidRDefault="003F24D0" w:rsidP="003B18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CE8BFC2" w14:textId="77777777" w:rsidR="00DD2C82" w:rsidRDefault="00DD2C82" w:rsidP="003B18F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9CEED2B" w14:textId="125EEC45" w:rsidR="0097598D" w:rsidRDefault="00D83A9F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INFORME DE COMISIÓN DE </w:t>
      </w:r>
      <w:r w:rsidR="00E471CA">
        <w:rPr>
          <w:rFonts w:ascii="Arial" w:hAnsi="Arial" w:cs="Arial"/>
          <w:sz w:val="24"/>
          <w:szCs w:val="24"/>
        </w:rPr>
        <w:t>INFRAESTRUCTURA Y</w:t>
      </w:r>
      <w:r w:rsidR="00DD2C82">
        <w:rPr>
          <w:rFonts w:ascii="Arial" w:hAnsi="Arial" w:cs="Arial"/>
          <w:sz w:val="24"/>
          <w:szCs w:val="24"/>
        </w:rPr>
        <w:t xml:space="preserve"> MIXTA PARA RESOLUCIÓN EN SESIÓN ORDINARIA </w:t>
      </w:r>
      <w:r w:rsidR="00E471CA">
        <w:rPr>
          <w:rFonts w:ascii="Arial" w:hAnsi="Arial" w:cs="Arial"/>
          <w:sz w:val="24"/>
          <w:szCs w:val="24"/>
        </w:rPr>
        <w:t>459 DEL</w:t>
      </w:r>
      <w:r w:rsidR="00DD2C82">
        <w:rPr>
          <w:rFonts w:ascii="Arial" w:hAnsi="Arial" w:cs="Arial"/>
          <w:sz w:val="24"/>
          <w:szCs w:val="24"/>
        </w:rPr>
        <w:t xml:space="preserve"> CONSEJO REGIONAL; 22.11.23</w:t>
      </w:r>
    </w:p>
    <w:p w14:paraId="310B46FD" w14:textId="61AEA0CF" w:rsidR="00DD2C82" w:rsidRDefault="00DD2C82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DD2C82">
        <w:rPr>
          <w:rFonts w:ascii="Arial" w:hAnsi="Arial" w:cs="Arial"/>
          <w:b/>
          <w:bCs/>
          <w:sz w:val="24"/>
          <w:szCs w:val="24"/>
        </w:rPr>
        <w:t>Pto</w:t>
      </w:r>
      <w:proofErr w:type="spellEnd"/>
      <w:r w:rsidRPr="00DD2C82">
        <w:rPr>
          <w:rFonts w:ascii="Arial" w:hAnsi="Arial" w:cs="Arial"/>
          <w:b/>
          <w:bCs/>
          <w:sz w:val="24"/>
          <w:szCs w:val="24"/>
        </w:rPr>
        <w:t xml:space="preserve">.  7: Resolver 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DD2C82">
        <w:rPr>
          <w:rFonts w:ascii="Arial" w:hAnsi="Arial" w:cs="Arial"/>
          <w:b/>
          <w:bCs/>
          <w:sz w:val="24"/>
          <w:szCs w:val="24"/>
        </w:rPr>
        <w:t>umento de obra en proyecto “Construcción de Cancha Sintética de Lanco”</w:t>
      </w:r>
    </w:p>
    <w:p w14:paraId="035C0A22" w14:textId="71A23B32" w:rsidR="00DD2C82" w:rsidRDefault="00DD2C82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Expone el alcalde de la Comuna de Lanco, Don Juan Rocha, acompañado por Asesor a la Inspección fiscal Don Jorge Harvey.</w:t>
      </w:r>
    </w:p>
    <w:p w14:paraId="114A8B45" w14:textId="671507A8" w:rsidR="00DD2C82" w:rsidRDefault="00DD2C82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comisión visitó esta obra en el contexto de las reuniones de Core realizadas en Lanco a principios de mes; por lo que se analizó en terreno y se observaron los aumentos de obras que sería necesario presentar, acto que se ejecutó ayer ante la comisión </w:t>
      </w:r>
      <w:r w:rsidR="00E471CA">
        <w:rPr>
          <w:rFonts w:ascii="Arial" w:hAnsi="Arial" w:cs="Arial"/>
          <w:sz w:val="24"/>
          <w:szCs w:val="24"/>
        </w:rPr>
        <w:t>mixta,</w:t>
      </w:r>
      <w:r>
        <w:rPr>
          <w:rFonts w:ascii="Arial" w:hAnsi="Arial" w:cs="Arial"/>
          <w:sz w:val="24"/>
          <w:szCs w:val="24"/>
        </w:rPr>
        <w:t xml:space="preserve"> habiendo cumplido con los protocolos internos del Gobierno Regional para estas modificaciones.</w:t>
      </w:r>
    </w:p>
    <w:p w14:paraId="2CD39DA3" w14:textId="6ADCC294" w:rsidR="00E471CA" w:rsidRDefault="00E471CA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ítems considerados son 2, por un lado el cambio de las torres de </w:t>
      </w:r>
      <w:r w:rsidR="006B596D">
        <w:rPr>
          <w:rFonts w:ascii="Arial" w:hAnsi="Arial" w:cs="Arial"/>
          <w:sz w:val="24"/>
          <w:szCs w:val="24"/>
        </w:rPr>
        <w:t>iluminación,</w:t>
      </w:r>
      <w:r>
        <w:rPr>
          <w:rFonts w:ascii="Arial" w:hAnsi="Arial" w:cs="Arial"/>
          <w:sz w:val="24"/>
          <w:szCs w:val="24"/>
        </w:rPr>
        <w:t xml:space="preserve"> las que se licitaron de menor tamaño</w:t>
      </w:r>
      <w:r w:rsidR="006B596D">
        <w:rPr>
          <w:rFonts w:ascii="Arial" w:hAnsi="Arial" w:cs="Arial"/>
          <w:sz w:val="24"/>
          <w:szCs w:val="24"/>
        </w:rPr>
        <w:t xml:space="preserve"> ( 8 metros)</w:t>
      </w:r>
      <w:r>
        <w:rPr>
          <w:rFonts w:ascii="Arial" w:hAnsi="Arial" w:cs="Arial"/>
          <w:sz w:val="24"/>
          <w:szCs w:val="24"/>
        </w:rPr>
        <w:t xml:space="preserve"> , </w:t>
      </w:r>
      <w:r w:rsidR="006B596D">
        <w:rPr>
          <w:rFonts w:ascii="Arial" w:hAnsi="Arial" w:cs="Arial"/>
          <w:sz w:val="24"/>
          <w:szCs w:val="24"/>
        </w:rPr>
        <w:t>contraviniendo</w:t>
      </w:r>
      <w:r>
        <w:rPr>
          <w:rFonts w:ascii="Arial" w:hAnsi="Arial" w:cs="Arial"/>
          <w:sz w:val="24"/>
          <w:szCs w:val="24"/>
        </w:rPr>
        <w:t xml:space="preserve"> el proyecto original de </w:t>
      </w:r>
      <w:r w:rsidR="006B596D">
        <w:rPr>
          <w:rFonts w:ascii="Arial" w:hAnsi="Arial" w:cs="Arial"/>
          <w:sz w:val="24"/>
          <w:szCs w:val="24"/>
        </w:rPr>
        <w:t xml:space="preserve">iluminación el que recomendaba 20 </w:t>
      </w:r>
      <w:proofErr w:type="spellStart"/>
      <w:r w:rsidR="006B596D">
        <w:rPr>
          <w:rFonts w:ascii="Arial" w:hAnsi="Arial" w:cs="Arial"/>
          <w:sz w:val="24"/>
          <w:szCs w:val="24"/>
        </w:rPr>
        <w:t>mt</w:t>
      </w:r>
      <w:proofErr w:type="spellEnd"/>
      <w:r w:rsidR="006B596D">
        <w:rPr>
          <w:rFonts w:ascii="Arial" w:hAnsi="Arial" w:cs="Arial"/>
          <w:sz w:val="24"/>
          <w:szCs w:val="24"/>
        </w:rPr>
        <w:t>. De altura, esto incluye las modificaciones de las bases de la postación. Por otro lado, está la modificación del cierre perimetral, también acordado como necesidad en la visita de la comisión a terreno.</w:t>
      </w:r>
    </w:p>
    <w:p w14:paraId="32219816" w14:textId="30D04FDD" w:rsidR="006B596D" w:rsidRDefault="006B596D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cuadro resumen de los montos es el siguiente:</w:t>
      </w:r>
    </w:p>
    <w:p w14:paraId="4294AF3F" w14:textId="7CE9D172" w:rsidR="006B596D" w:rsidRDefault="006B596D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311505C4" wp14:editId="0E8AF3B8">
            <wp:extent cx="4724400" cy="20669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08AF2D" w14:textId="77777777" w:rsidR="006B596D" w:rsidRDefault="006B596D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4994E47" w14:textId="77777777" w:rsidR="006B596D" w:rsidRDefault="00DD2C82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p w14:paraId="77C5DA1B" w14:textId="21FEC079" w:rsidR="00DD2C82" w:rsidRDefault="006B596D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Puesta en Votación el aumento de obra por $166.683.377 que corresponde al 9.32% sobre el monto original del </w:t>
      </w:r>
      <w:r w:rsidR="001738D7">
        <w:rPr>
          <w:rFonts w:ascii="Arial" w:hAnsi="Arial" w:cs="Arial"/>
          <w:sz w:val="24"/>
          <w:szCs w:val="24"/>
        </w:rPr>
        <w:t>contrato,</w:t>
      </w:r>
      <w:r w:rsidR="00EE00DB">
        <w:rPr>
          <w:rFonts w:ascii="Arial" w:hAnsi="Arial" w:cs="Arial"/>
          <w:sz w:val="24"/>
          <w:szCs w:val="24"/>
        </w:rPr>
        <w:t xml:space="preserve"> se re</w:t>
      </w:r>
      <w:r w:rsidR="001738D7">
        <w:rPr>
          <w:rFonts w:ascii="Arial" w:hAnsi="Arial" w:cs="Arial"/>
          <w:sz w:val="24"/>
          <w:szCs w:val="24"/>
        </w:rPr>
        <w:t>comienda en forma unánime a este pleno Sr. presidente.</w:t>
      </w:r>
    </w:p>
    <w:p w14:paraId="452AAC83" w14:textId="1128ED2B" w:rsidR="00FE276C" w:rsidRDefault="00FE276C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C38B40" w14:textId="1C96B1E6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spellStart"/>
      <w:r>
        <w:rPr>
          <w:rFonts w:ascii="Arial" w:eastAsia="Times New Roman" w:hAnsi="Arial" w:cs="Arial"/>
          <w:b/>
          <w:bCs/>
          <w:sz w:val="24"/>
          <w:szCs w:val="24"/>
        </w:rPr>
        <w:t>Pto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</w:rPr>
        <w:t xml:space="preserve">. 11 .- </w:t>
      </w:r>
      <w:r w:rsidRPr="00F56C98">
        <w:rPr>
          <w:rFonts w:ascii="Arial" w:eastAsia="Times New Roman" w:hAnsi="Arial" w:cs="Arial"/>
          <w:b/>
          <w:bCs/>
          <w:sz w:val="24"/>
          <w:szCs w:val="24"/>
        </w:rPr>
        <w:t>Resolver concesiones de uso gratuito de inmuebles fiscales de la Región de los Ríos.</w:t>
      </w:r>
    </w:p>
    <w:p w14:paraId="5C337BA0" w14:textId="0AA6CB5A" w:rsidR="00A33596" w:rsidRPr="00F56C98" w:rsidRDefault="00A33596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Se presenta un compilado de las presentaciones hechas en el Core anterior en lanco y la de ayer.</w:t>
      </w:r>
    </w:p>
    <w:p w14:paraId="77C1FFF9" w14:textId="24B40843" w:rsidR="00F56C98" w:rsidRP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C98">
        <w:rPr>
          <w:rFonts w:ascii="Arial" w:eastAsia="Times New Roman" w:hAnsi="Arial" w:cs="Arial"/>
          <w:sz w:val="24"/>
          <w:szCs w:val="24"/>
        </w:rPr>
        <w:t>Expone</w:t>
      </w:r>
      <w:r>
        <w:rPr>
          <w:rFonts w:ascii="Arial" w:eastAsia="Times New Roman" w:hAnsi="Arial" w:cs="Arial"/>
          <w:sz w:val="24"/>
          <w:szCs w:val="24"/>
        </w:rPr>
        <w:t xml:space="preserve"> la Secretaria regional ministerial de </w:t>
      </w:r>
      <w:r w:rsidRPr="00F56C98">
        <w:rPr>
          <w:rFonts w:ascii="Arial" w:eastAsia="Times New Roman" w:hAnsi="Arial" w:cs="Arial"/>
          <w:sz w:val="24"/>
          <w:szCs w:val="24"/>
        </w:rPr>
        <w:t xml:space="preserve">Bienes Nacionales Jorge Pacheco, </w:t>
      </w:r>
      <w:r>
        <w:rPr>
          <w:rFonts w:ascii="Arial" w:eastAsia="Times New Roman" w:hAnsi="Arial" w:cs="Arial"/>
          <w:sz w:val="24"/>
          <w:szCs w:val="24"/>
        </w:rPr>
        <w:t xml:space="preserve">y/o su representante </w:t>
      </w:r>
      <w:r w:rsidRPr="00F56C98">
        <w:rPr>
          <w:rFonts w:ascii="Arial" w:eastAsia="Times New Roman" w:hAnsi="Arial" w:cs="Arial"/>
          <w:sz w:val="24"/>
          <w:szCs w:val="24"/>
        </w:rPr>
        <w:t>, las propuestas a sancionar son las siguientes:</w:t>
      </w:r>
    </w:p>
    <w:p w14:paraId="6885D89C" w14:textId="783379E6" w:rsidR="00F56C98" w:rsidRP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C9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39241AE" wp14:editId="3798B3B8">
            <wp:extent cx="5591175" cy="2571750"/>
            <wp:effectExtent l="0" t="0" r="9525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3BAE6" w14:textId="64B68692" w:rsidR="00F56C98" w:rsidRP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C98">
        <w:rPr>
          <w:rFonts w:ascii="Arial" w:eastAsia="Times New Roman" w:hAnsi="Arial" w:cs="Arial"/>
          <w:noProof/>
          <w:sz w:val="24"/>
          <w:szCs w:val="24"/>
        </w:rPr>
        <w:lastRenderedPageBreak/>
        <w:drawing>
          <wp:inline distT="0" distB="0" distL="0" distR="0" wp14:anchorId="0CEE87E1" wp14:editId="5CA94485">
            <wp:extent cx="5610225" cy="2667000"/>
            <wp:effectExtent l="0" t="0" r="9525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022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B60EC7" w14:textId="77777777" w:rsidR="00F56C98" w:rsidRP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D61C0A1" w14:textId="77777777" w:rsidR="00F56C98" w:rsidRP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2A27E69D" w14:textId="29ADCB95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C98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 wp14:anchorId="35DF8A25" wp14:editId="0E449658">
            <wp:extent cx="5600700" cy="3190875"/>
            <wp:effectExtent l="0" t="0" r="0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190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7D36C" w14:textId="4745AC57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6F15780" w14:textId="00AED7CA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4E991CA0" w14:textId="62EC0176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3010148" w14:textId="289AF2D6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B62C0C0" w14:textId="76896AC0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10D14243" w14:textId="6857481E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C98">
        <w:rPr>
          <w:rFonts w:ascii="Arial" w:eastAsia="Times New Roman" w:hAnsi="Arial" w:cs="Arial"/>
          <w:sz w:val="24"/>
          <w:szCs w:val="24"/>
        </w:rPr>
        <w:drawing>
          <wp:inline distT="0" distB="0" distL="0" distR="0" wp14:anchorId="23F4C30F" wp14:editId="623EA9EB">
            <wp:extent cx="5612130" cy="2624455"/>
            <wp:effectExtent l="0" t="0" r="7620" b="444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624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769DF5" w14:textId="77777777" w:rsidR="00A33596" w:rsidRPr="00F56C98" w:rsidRDefault="00A33596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57C6CDE8" w14:textId="0A84874E" w:rsidR="00F56C98" w:rsidRDefault="00F56C98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56C98">
        <w:rPr>
          <w:rFonts w:ascii="Arial" w:eastAsia="Times New Roman" w:hAnsi="Arial" w:cs="Arial"/>
          <w:sz w:val="24"/>
          <w:szCs w:val="24"/>
        </w:rPr>
        <w:t>Puesta en votación, todas y cada una de las propuestas, se recomiendan en forma unánime a este pleno Sr. presidente.</w:t>
      </w:r>
    </w:p>
    <w:p w14:paraId="1947799B" w14:textId="6610E09C" w:rsidR="00617570" w:rsidRDefault="00617570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085AE71" w14:textId="2589FDF2" w:rsidR="00617570" w:rsidRDefault="00617570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Punto Agregado:</w:t>
      </w:r>
    </w:p>
    <w:p w14:paraId="39DFF5E5" w14:textId="77777777" w:rsidR="00617570" w:rsidRPr="00F56C98" w:rsidRDefault="00617570" w:rsidP="00F56C98">
      <w:pPr>
        <w:spacing w:line="36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7DF5EF1" w14:textId="77777777" w:rsidR="00F56C98" w:rsidRDefault="00F56C98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D5E48B8" w14:textId="77777777" w:rsidR="00F56C98" w:rsidRDefault="00F56C98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20B5EE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EF9200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4E247F3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896E9E7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DC69D3F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4D982D83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21C3676B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9CC11C4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18D20C74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7033E95A" w14:textId="77777777" w:rsidR="00A33596" w:rsidRDefault="00A33596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6A1F3A59" w14:textId="60A4E453" w:rsidR="00FE276C" w:rsidRDefault="001159B4" w:rsidP="006D231E">
      <w:pPr>
        <w:spacing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F56C98">
        <w:rPr>
          <w:rFonts w:ascii="Arial" w:hAnsi="Arial" w:cs="Arial"/>
          <w:b/>
          <w:bCs/>
          <w:sz w:val="24"/>
          <w:szCs w:val="24"/>
        </w:rPr>
        <w:t>Pto</w:t>
      </w:r>
      <w:proofErr w:type="spellEnd"/>
      <w:r w:rsidRPr="00F56C98">
        <w:rPr>
          <w:rFonts w:ascii="Arial" w:hAnsi="Arial" w:cs="Arial"/>
          <w:b/>
          <w:bCs/>
          <w:sz w:val="24"/>
          <w:szCs w:val="24"/>
        </w:rPr>
        <w:t>. 17. Resolver la incorporación a cartera Isar MOP de proyecto de Agua Potable Rural.</w:t>
      </w:r>
    </w:p>
    <w:p w14:paraId="30D81F7E" w14:textId="7B8F7E2D" w:rsidR="00D27EAC" w:rsidRDefault="00D27EAC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Presenta el director regional de Obras Hidráulicas don Sergio Asenjo.</w:t>
      </w:r>
    </w:p>
    <w:p w14:paraId="4583CD8D" w14:textId="551322BA" w:rsidR="00D27EAC" w:rsidRDefault="00D27EAC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Los antecedentes complementarios se encuentran en la presentación remitida previamente. </w:t>
      </w:r>
    </w:p>
    <w:p w14:paraId="5A2829A9" w14:textId="3D366C18" w:rsidR="00D27EAC" w:rsidRPr="00D27EAC" w:rsidRDefault="00D27EAC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proyectos que se presentan son los siguientes:</w:t>
      </w:r>
    </w:p>
    <w:p w14:paraId="0C300860" w14:textId="7988AC37" w:rsidR="00F56C98" w:rsidRPr="00F56C98" w:rsidRDefault="00F56C98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9934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468"/>
        <w:gridCol w:w="1145"/>
        <w:gridCol w:w="1629"/>
        <w:gridCol w:w="1692"/>
      </w:tblGrid>
      <w:tr w:rsidR="00FE276C" w:rsidRPr="00FE276C" w14:paraId="6ED3EF77" w14:textId="77777777" w:rsidTr="00D27EAC">
        <w:trPr>
          <w:trHeight w:val="500"/>
        </w:trPr>
        <w:tc>
          <w:tcPr>
            <w:tcW w:w="5468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679AD3E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76C">
              <w:rPr>
                <w:rFonts w:ascii="Arial" w:hAnsi="Arial" w:cs="Arial"/>
                <w:b/>
                <w:bCs/>
                <w:sz w:val="24"/>
                <w:szCs w:val="24"/>
              </w:rPr>
              <w:t>Proyecto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4F7E90E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76C">
              <w:rPr>
                <w:rFonts w:ascii="Arial" w:hAnsi="Arial" w:cs="Arial"/>
                <w:b/>
                <w:bCs/>
                <w:sz w:val="24"/>
                <w:szCs w:val="24"/>
              </w:rPr>
              <w:t>Obras (M$)</w:t>
            </w:r>
          </w:p>
        </w:tc>
        <w:tc>
          <w:tcPr>
            <w:tcW w:w="1629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5B4AD81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76C">
              <w:rPr>
                <w:rFonts w:ascii="Arial" w:hAnsi="Arial" w:cs="Arial"/>
                <w:b/>
                <w:bCs/>
                <w:sz w:val="24"/>
                <w:szCs w:val="24"/>
              </w:rPr>
              <w:t>Consultorías (M$)</w:t>
            </w:r>
          </w:p>
        </w:tc>
        <w:tc>
          <w:tcPr>
            <w:tcW w:w="1692" w:type="dxa"/>
            <w:tcBorders>
              <w:top w:val="single" w:sz="8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4472C4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F710B86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E276C">
              <w:rPr>
                <w:rFonts w:ascii="Arial" w:hAnsi="Arial" w:cs="Arial"/>
                <w:b/>
                <w:bCs/>
                <w:sz w:val="24"/>
                <w:szCs w:val="24"/>
              </w:rPr>
              <w:t>TOTAL (M$)</w:t>
            </w:r>
          </w:p>
        </w:tc>
      </w:tr>
      <w:tr w:rsidR="00FE276C" w:rsidRPr="00FE276C" w14:paraId="29C550B4" w14:textId="77777777" w:rsidTr="00D27EAC">
        <w:trPr>
          <w:trHeight w:val="7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95" w:type="dxa"/>
              <w:bottom w:w="0" w:type="dxa"/>
              <w:right w:w="16" w:type="dxa"/>
            </w:tcMar>
            <w:vAlign w:val="center"/>
            <w:hideMark/>
          </w:tcPr>
          <w:p w14:paraId="539695A0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  <w:lang w:val="es-MX"/>
              </w:rPr>
              <w:t>CONSTRUCCION SERVICIO APR LA LUMA, LOS LAGOS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2F6FC75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1.245.328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83FEC78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180.573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75F9ADF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1.425.901</w:t>
            </w:r>
          </w:p>
        </w:tc>
      </w:tr>
      <w:tr w:rsidR="00FE276C" w:rsidRPr="00FE276C" w14:paraId="1133FF8D" w14:textId="77777777" w:rsidTr="00D27EAC">
        <w:trPr>
          <w:trHeight w:val="7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95" w:type="dxa"/>
              <w:bottom w:w="0" w:type="dxa"/>
              <w:right w:w="16" w:type="dxa"/>
            </w:tcMar>
            <w:vAlign w:val="center"/>
            <w:hideMark/>
          </w:tcPr>
          <w:p w14:paraId="11B5CE41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  <w:lang w:val="es-MX"/>
              </w:rPr>
              <w:t>CONSTRUCCION SERVICIO DE APR DE HUIFCO, MARIQUINA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6B64452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847.488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967B3D1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122.889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A6A0AFB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970.377</w:t>
            </w:r>
          </w:p>
        </w:tc>
      </w:tr>
      <w:tr w:rsidR="00FE276C" w:rsidRPr="00FE276C" w14:paraId="6D3AAB5E" w14:textId="77777777" w:rsidTr="00D27EAC">
        <w:trPr>
          <w:trHeight w:val="7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95" w:type="dxa"/>
              <w:bottom w:w="0" w:type="dxa"/>
              <w:right w:w="16" w:type="dxa"/>
            </w:tcMar>
            <w:vAlign w:val="center"/>
            <w:hideMark/>
          </w:tcPr>
          <w:p w14:paraId="12DF78D3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  <w:lang w:val="es-MX"/>
              </w:rPr>
              <w:t>AMPLIACION Y MEJORAMIENTO SERVICIO APR IGNAO, LAGO RANCO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22AFDC3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2.607.483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655E3C6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378.085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8101D24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2.985.568</w:t>
            </w:r>
          </w:p>
        </w:tc>
      </w:tr>
      <w:tr w:rsidR="00FE276C" w:rsidRPr="00FE276C" w14:paraId="65B2C44D" w14:textId="77777777" w:rsidTr="00D27EAC">
        <w:trPr>
          <w:trHeight w:val="78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95" w:type="dxa"/>
              <w:bottom w:w="0" w:type="dxa"/>
              <w:right w:w="16" w:type="dxa"/>
            </w:tcMar>
            <w:vAlign w:val="center"/>
            <w:hideMark/>
          </w:tcPr>
          <w:p w14:paraId="7ECD2550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CONSTRUCCION SERVICIO APR IMULFUDI-PILFE-TRANA, LANCO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F1D6B1F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1.868.671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46A33DE2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270.958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7F89D4B9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2.139.629</w:t>
            </w:r>
          </w:p>
        </w:tc>
      </w:tr>
      <w:tr w:rsidR="00FE276C" w:rsidRPr="00FE276C" w14:paraId="38AD4DF9" w14:textId="77777777" w:rsidTr="00D27EAC">
        <w:trPr>
          <w:trHeight w:val="433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95" w:type="dxa"/>
              <w:bottom w:w="0" w:type="dxa"/>
              <w:right w:w="16" w:type="dxa"/>
            </w:tcMar>
            <w:vAlign w:val="center"/>
            <w:hideMark/>
          </w:tcPr>
          <w:p w14:paraId="1621AAFF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  <w:lang w:val="es-MX"/>
              </w:rPr>
              <w:t>CONSTRUCCION SERVICIO DE APR DE LIPINGUE, LOS LAGOS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24A9B721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1.741.989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1DE33333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252.589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FD5EA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302FE692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sz w:val="20"/>
                <w:szCs w:val="20"/>
              </w:rPr>
              <w:t>1.994.578</w:t>
            </w:r>
          </w:p>
        </w:tc>
      </w:tr>
      <w:tr w:rsidR="00FE276C" w:rsidRPr="00FE276C" w14:paraId="6AABD8D5" w14:textId="77777777" w:rsidTr="00D27EAC">
        <w:trPr>
          <w:trHeight w:val="405"/>
        </w:trPr>
        <w:tc>
          <w:tcPr>
            <w:tcW w:w="5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6B95289D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4440319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b/>
                <w:bCs/>
                <w:sz w:val="20"/>
                <w:szCs w:val="20"/>
              </w:rPr>
              <w:t>8.310.959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5037BDDB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b/>
                <w:bCs/>
                <w:sz w:val="20"/>
                <w:szCs w:val="20"/>
              </w:rPr>
              <w:t>1.205.094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9EBF5"/>
            <w:tcMar>
              <w:top w:w="16" w:type="dxa"/>
              <w:left w:w="16" w:type="dxa"/>
              <w:bottom w:w="0" w:type="dxa"/>
              <w:right w:w="16" w:type="dxa"/>
            </w:tcMar>
            <w:vAlign w:val="bottom"/>
            <w:hideMark/>
          </w:tcPr>
          <w:p w14:paraId="057B6A5B" w14:textId="77777777" w:rsidR="00FE276C" w:rsidRPr="00FE276C" w:rsidRDefault="00FE276C" w:rsidP="00FE276C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276C">
              <w:rPr>
                <w:rFonts w:ascii="Arial" w:hAnsi="Arial" w:cs="Arial"/>
                <w:b/>
                <w:bCs/>
                <w:sz w:val="20"/>
                <w:szCs w:val="20"/>
              </w:rPr>
              <w:t>9.516.053</w:t>
            </w:r>
          </w:p>
        </w:tc>
      </w:tr>
    </w:tbl>
    <w:p w14:paraId="011B14F9" w14:textId="77777777" w:rsidR="00FE276C" w:rsidRPr="002E0A59" w:rsidRDefault="00FE276C" w:rsidP="006D231E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584B60E0" w14:textId="4AAB10C9" w:rsidR="002E0A59" w:rsidRDefault="00D27EAC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Puesta en votación la solicitud </w:t>
      </w:r>
      <w:r w:rsidR="002E0A59">
        <w:rPr>
          <w:rFonts w:ascii="Arial" w:hAnsi="Arial" w:cs="Arial"/>
          <w:sz w:val="24"/>
          <w:szCs w:val="24"/>
        </w:rPr>
        <w:t xml:space="preserve">para incorporar a la cartera de inversión regional con aprobación regional , </w:t>
      </w:r>
      <w:proofErr w:type="spellStart"/>
      <w:r w:rsidR="002E0A59">
        <w:rPr>
          <w:rFonts w:ascii="Arial" w:hAnsi="Arial" w:cs="Arial"/>
          <w:sz w:val="24"/>
          <w:szCs w:val="24"/>
        </w:rPr>
        <w:t>ISAR,</w:t>
      </w:r>
      <w:r>
        <w:rPr>
          <w:rFonts w:ascii="Arial" w:hAnsi="Arial" w:cs="Arial"/>
          <w:sz w:val="24"/>
          <w:szCs w:val="24"/>
        </w:rPr>
        <w:t>por</w:t>
      </w:r>
      <w:proofErr w:type="spellEnd"/>
      <w:r>
        <w:rPr>
          <w:rFonts w:ascii="Arial" w:hAnsi="Arial" w:cs="Arial"/>
          <w:sz w:val="24"/>
          <w:szCs w:val="24"/>
        </w:rPr>
        <w:t xml:space="preserve"> estas 5 iniciativas</w:t>
      </w:r>
      <w:r w:rsidR="002E0A59">
        <w:rPr>
          <w:rFonts w:ascii="Arial" w:hAnsi="Arial" w:cs="Arial"/>
          <w:sz w:val="24"/>
          <w:szCs w:val="24"/>
        </w:rPr>
        <w:t xml:space="preserve">, que suman </w:t>
      </w:r>
    </w:p>
    <w:p w14:paraId="5AD56AB6" w14:textId="77777777" w:rsidR="002E0A59" w:rsidRDefault="002E0A59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6E8A660" w14:textId="77777777" w:rsidR="002E0A59" w:rsidRDefault="002E0A59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3832B12" w14:textId="77777777" w:rsidR="002E0A59" w:rsidRDefault="002E0A59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B05814B" w14:textId="1FAFBA1A" w:rsidR="00DD2C82" w:rsidRDefault="002E0A59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9.516 millones, 53 mil pesos, incluidas las consultorías, se recomiendan en forma unánime Sr. presidente.</w:t>
      </w:r>
    </w:p>
    <w:p w14:paraId="477C56C5" w14:textId="77777777" w:rsidR="002E0A59" w:rsidRPr="00DD2C82" w:rsidRDefault="002E0A59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EEA343D" w14:textId="77777777" w:rsidR="00DD2C82" w:rsidRPr="003B18F1" w:rsidRDefault="00DD2C82" w:rsidP="006D231E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D2C82" w:rsidRPr="003B18F1" w:rsidSect="008705D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50E0C" w14:textId="77777777" w:rsidR="00B451D7" w:rsidRDefault="00B451D7" w:rsidP="008C679D">
      <w:pPr>
        <w:spacing w:after="0" w:line="240" w:lineRule="auto"/>
      </w:pPr>
      <w:r>
        <w:separator/>
      </w:r>
    </w:p>
  </w:endnote>
  <w:endnote w:type="continuationSeparator" w:id="0">
    <w:p w14:paraId="480C9693" w14:textId="77777777" w:rsidR="00B451D7" w:rsidRDefault="00B451D7" w:rsidP="008C6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399362021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D89F325" w14:textId="225E5920" w:rsidR="008C679D" w:rsidRDefault="008C679D" w:rsidP="00BF32A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2157BA11" w14:textId="77777777" w:rsidR="008C679D" w:rsidRDefault="008C679D" w:rsidP="008C679D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944194035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36A6FD3D" w14:textId="691550FB" w:rsidR="008C679D" w:rsidRDefault="008C679D" w:rsidP="00BF32AF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 w:rsidR="009C3197"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6678782B" w14:textId="77777777" w:rsidR="008C679D" w:rsidRDefault="008C679D" w:rsidP="008C679D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B111" w14:textId="77777777" w:rsidR="009C3197" w:rsidRDefault="009C319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F1A60" w14:textId="77777777" w:rsidR="00B451D7" w:rsidRDefault="00B451D7" w:rsidP="008C679D">
      <w:pPr>
        <w:spacing w:after="0" w:line="240" w:lineRule="auto"/>
      </w:pPr>
      <w:r>
        <w:separator/>
      </w:r>
    </w:p>
  </w:footnote>
  <w:footnote w:type="continuationSeparator" w:id="0">
    <w:p w14:paraId="7E2D9676" w14:textId="77777777" w:rsidR="00B451D7" w:rsidRDefault="00B451D7" w:rsidP="008C6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7FB46" w14:textId="77777777" w:rsidR="009C3197" w:rsidRDefault="009C319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6AFFC" w14:textId="56FC12E5" w:rsidR="008C679D" w:rsidRDefault="008C679D">
    <w:pPr>
      <w:pStyle w:val="Encabezado"/>
    </w:pPr>
    <w:r>
      <w:rPr>
        <w:rFonts w:ascii="Arial" w:hAnsi="Arial" w:cs="Arial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1F6DC72A" wp14:editId="1EF35B5F">
          <wp:simplePos x="0" y="0"/>
          <wp:positionH relativeFrom="column">
            <wp:posOffset>-153670</wp:posOffset>
          </wp:positionH>
          <wp:positionV relativeFrom="paragraph">
            <wp:posOffset>-280670</wp:posOffset>
          </wp:positionV>
          <wp:extent cx="956945" cy="719455"/>
          <wp:effectExtent l="0" t="0" r="0" b="4445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694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B68D" w14:textId="77777777" w:rsidR="009C3197" w:rsidRDefault="009C319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n-US" w:vendorID="64" w:dllVersion="6" w:nlCheck="1" w:checkStyle="0"/>
  <w:activeWritingStyle w:appName="MSWord" w:lang="es-CL" w:vendorID="64" w:dllVersion="409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18F1"/>
    <w:rsid w:val="001159B4"/>
    <w:rsid w:val="00152929"/>
    <w:rsid w:val="001738D7"/>
    <w:rsid w:val="002E0A59"/>
    <w:rsid w:val="00332100"/>
    <w:rsid w:val="003B18F1"/>
    <w:rsid w:val="003F24D0"/>
    <w:rsid w:val="00535EA7"/>
    <w:rsid w:val="00617570"/>
    <w:rsid w:val="00655E4D"/>
    <w:rsid w:val="006B596D"/>
    <w:rsid w:val="006D231E"/>
    <w:rsid w:val="00842DFD"/>
    <w:rsid w:val="008705D0"/>
    <w:rsid w:val="008C679D"/>
    <w:rsid w:val="009547EA"/>
    <w:rsid w:val="009609A6"/>
    <w:rsid w:val="0097598D"/>
    <w:rsid w:val="009C3197"/>
    <w:rsid w:val="00A33596"/>
    <w:rsid w:val="00B13B0B"/>
    <w:rsid w:val="00B451D7"/>
    <w:rsid w:val="00D27EAC"/>
    <w:rsid w:val="00D83A9F"/>
    <w:rsid w:val="00DD2C82"/>
    <w:rsid w:val="00E471CA"/>
    <w:rsid w:val="00EE00DB"/>
    <w:rsid w:val="00F56C98"/>
    <w:rsid w:val="00FB7A2B"/>
    <w:rsid w:val="00FE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F57B6"/>
  <w15:chartTrackingRefBased/>
  <w15:docId w15:val="{A669CD28-CBB0-4D0B-9061-E4E2586FC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C6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C679D"/>
  </w:style>
  <w:style w:type="paragraph" w:styleId="Piedepgina">
    <w:name w:val="footer"/>
    <w:basedOn w:val="Normal"/>
    <w:link w:val="PiedepginaCar"/>
    <w:uiPriority w:val="99"/>
    <w:unhideWhenUsed/>
    <w:rsid w:val="008C67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C679D"/>
  </w:style>
  <w:style w:type="character" w:styleId="Nmerodepgina">
    <w:name w:val="page number"/>
    <w:basedOn w:val="Fuentedeprrafopredeter"/>
    <w:uiPriority w:val="99"/>
    <w:semiHidden/>
    <w:unhideWhenUsed/>
    <w:rsid w:val="008C679D"/>
  </w:style>
  <w:style w:type="paragraph" w:customStyle="1" w:styleId="Default">
    <w:name w:val="Default"/>
    <w:rsid w:val="009547E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70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705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03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header" Target="header3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442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wzuniga</dc:creator>
  <cp:keywords/>
  <dc:description/>
  <cp:lastModifiedBy>GORE Los Ríos</cp:lastModifiedBy>
  <cp:revision>7</cp:revision>
  <cp:lastPrinted>2023-04-12T20:03:00Z</cp:lastPrinted>
  <dcterms:created xsi:type="dcterms:W3CDTF">2023-11-22T14:11:00Z</dcterms:created>
  <dcterms:modified xsi:type="dcterms:W3CDTF">2023-11-22T18:00:00Z</dcterms:modified>
</cp:coreProperties>
</file>